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F05" w:rsidRPr="00A75F05" w:rsidRDefault="00A75F05" w:rsidP="00A75F05">
      <w:pPr>
        <w:keepNext/>
        <w:tabs>
          <w:tab w:val="left" w:pos="8505"/>
        </w:tabs>
        <w:spacing w:after="0"/>
        <w:ind w:right="-754"/>
        <w:outlineLvl w:val="7"/>
        <w:rPr>
          <w:rFonts w:eastAsia="SimSun" w:cs="Times New Roman"/>
          <w:b/>
          <w:bCs/>
          <w:lang w:val="fr-FR"/>
        </w:rPr>
      </w:pPr>
      <w:bookmarkStart w:id="0" w:name="OLE_LINK1"/>
      <w:bookmarkStart w:id="1" w:name="OLE_LINK2"/>
      <w:r w:rsidRPr="00A75F05">
        <w:rPr>
          <w:rFonts w:eastAsia="SimSun" w:cs="Times New Roman"/>
          <w:b/>
          <w:bCs/>
          <w:lang w:val="fr-FR"/>
        </w:rPr>
        <w:t xml:space="preserve">TREIZIÈME RÉUNION DES MINISTRES </w:t>
      </w:r>
    </w:p>
    <w:p w:rsidR="00A75F05" w:rsidRPr="00A75F05" w:rsidRDefault="00A75F05" w:rsidP="00A75F05">
      <w:pPr>
        <w:tabs>
          <w:tab w:val="left" w:pos="8505"/>
        </w:tabs>
        <w:spacing w:after="0"/>
        <w:ind w:right="-754"/>
        <w:rPr>
          <w:rFonts w:eastAsia="Malgun Gothic" w:cs="Times New Roman"/>
          <w:b/>
          <w:lang w:val="fr-FR"/>
        </w:rPr>
      </w:pPr>
      <w:r w:rsidRPr="00A75F05">
        <w:rPr>
          <w:rFonts w:eastAsia="SimSun" w:cs="Times New Roman"/>
          <w:b/>
          <w:bCs/>
          <w:lang w:val="fr-FR"/>
        </w:rPr>
        <w:t xml:space="preserve">DE LA SANTÉ DES PAYS OCÉANIENS                   </w:t>
      </w:r>
      <w:r>
        <w:rPr>
          <w:rFonts w:eastAsia="SimSun" w:cs="Times New Roman"/>
          <w:b/>
          <w:bCs/>
          <w:lang w:val="fr-FR"/>
        </w:rPr>
        <w:t xml:space="preserve">                        </w:t>
      </w:r>
      <w:r w:rsidR="00F87319">
        <w:rPr>
          <w:rFonts w:asciiTheme="majorBidi" w:hAnsiTheme="majorBidi" w:cstheme="majorBidi"/>
          <w:b/>
          <w:bCs/>
        </w:rPr>
        <w:t>PIC13/S7/1</w:t>
      </w:r>
    </w:p>
    <w:p w:rsidR="00A75F05" w:rsidRPr="00A75F05" w:rsidRDefault="00A75F05" w:rsidP="00A75F05">
      <w:pPr>
        <w:keepNext/>
        <w:tabs>
          <w:tab w:val="left" w:pos="8505"/>
        </w:tabs>
        <w:spacing w:after="0"/>
        <w:ind w:right="-754"/>
        <w:outlineLvl w:val="7"/>
        <w:rPr>
          <w:rFonts w:eastAsia="Malgun Gothic" w:cs="Times New Roman"/>
          <w:b/>
          <w:bCs/>
          <w:lang w:val="fr-FR"/>
        </w:rPr>
      </w:pPr>
      <w:r w:rsidRPr="00A75F05">
        <w:rPr>
          <w:rFonts w:eastAsia="Malgun Gothic" w:cs="Times New Roman"/>
          <w:b/>
          <w:bCs/>
          <w:lang w:val="fr-FR"/>
        </w:rPr>
        <w:t>Papeete (Polynésie française)                                                                 11 juin 2019</w:t>
      </w:r>
    </w:p>
    <w:p w:rsidR="00560443" w:rsidRPr="00244210" w:rsidRDefault="00A75F05" w:rsidP="00244210">
      <w:pPr>
        <w:tabs>
          <w:tab w:val="left" w:pos="6300"/>
        </w:tabs>
        <w:spacing w:after="0"/>
        <w:rPr>
          <w:rFonts w:eastAsia="Malgun Gothic" w:cs="Times New Roman"/>
          <w:b/>
          <w:lang w:val="fr-FR"/>
        </w:rPr>
      </w:pPr>
      <w:r w:rsidRPr="00A75F05">
        <w:rPr>
          <w:rFonts w:eastAsia="Malgun Gothic" w:cs="Times New Roman"/>
          <w:b/>
          <w:bCs/>
          <w:lang w:val="fr-FR"/>
        </w:rPr>
        <w:t>6–8 août 2019</w:t>
      </w:r>
      <w:r w:rsidR="00244210">
        <w:rPr>
          <w:rFonts w:eastAsia="Malgun Gothic" w:cs="Times New Roman"/>
          <w:b/>
          <w:bCs/>
          <w:lang w:val="fr-FR"/>
        </w:rPr>
        <w:t xml:space="preserve"> </w:t>
      </w:r>
      <w:r>
        <w:rPr>
          <w:rFonts w:eastAsia="Malgun Gothic" w:cs="Times New Roman"/>
          <w:lang w:val="fr-FR"/>
        </w:rPr>
        <w:t xml:space="preserve">                                                                                          </w:t>
      </w:r>
      <w:r w:rsidRPr="00A75F05">
        <w:rPr>
          <w:rFonts w:eastAsia="Malgun Gothic" w:cs="Times New Roman"/>
          <w:b/>
          <w:bCs/>
          <w:lang w:val="fr-FR"/>
        </w:rPr>
        <w:t>ORIGINAL : ANGLAIS</w:t>
      </w:r>
    </w:p>
    <w:p w:rsidR="00694D51" w:rsidRPr="00EF25FF" w:rsidRDefault="00694D51" w:rsidP="007A5512">
      <w:pPr>
        <w:pStyle w:val="Heading1"/>
        <w:rPr>
          <w:lang w:val="fr-FR"/>
        </w:rPr>
      </w:pPr>
      <w:r w:rsidRPr="0093439D">
        <w:rPr>
          <w:lang w:val="fr"/>
        </w:rPr>
        <w:t>R</w:t>
      </w:r>
      <w:r w:rsidR="00D65A8B">
        <w:rPr>
          <w:lang w:val="fr"/>
        </w:rPr>
        <w:t>APPORT DE SITUATION sur la mise</w:t>
      </w:r>
      <w:r w:rsidR="00D65A8B" w:rsidRPr="00D65A8B">
        <w:rPr>
          <w:lang w:val="fr-FR"/>
        </w:rPr>
        <w:t> </w:t>
      </w:r>
      <w:r w:rsidR="00D65A8B">
        <w:rPr>
          <w:lang w:val="fr"/>
        </w:rPr>
        <w:t>en </w:t>
      </w:r>
      <w:r w:rsidR="00E56D8D" w:rsidRPr="0093439D">
        <w:rPr>
          <w:lang w:val="fr"/>
        </w:rPr>
        <w:t>œuvre</w:t>
      </w:r>
      <w:r w:rsidRPr="0093439D">
        <w:rPr>
          <w:lang w:val="fr"/>
        </w:rPr>
        <w:t xml:space="preserve"> du</w:t>
      </w:r>
      <w:r w:rsidRPr="0093439D">
        <w:rPr>
          <w:b w:val="0"/>
          <w:bCs w:val="0"/>
          <w:lang w:val="fr"/>
        </w:rPr>
        <w:t xml:space="preserve"> </w:t>
      </w:r>
      <w:r w:rsidRPr="0093439D">
        <w:rPr>
          <w:b w:val="0"/>
          <w:bCs w:val="0"/>
          <w:lang w:val="fr"/>
        </w:rPr>
        <w:br/>
      </w:r>
      <w:r w:rsidRPr="0093439D">
        <w:rPr>
          <w:lang w:val="fr"/>
        </w:rPr>
        <w:t>CADRE DE SUIVI DES ÎLES-SANTÉ</w:t>
      </w:r>
      <w:r>
        <w:rPr>
          <w:b w:val="0"/>
          <w:bCs w:val="0"/>
          <w:lang w:val="fr"/>
        </w:rPr>
        <w:t xml:space="preserve"> </w:t>
      </w:r>
    </w:p>
    <w:p w:rsidR="00573F2B" w:rsidRPr="00D65A8B" w:rsidRDefault="009472FC" w:rsidP="00757A5F">
      <w:pPr>
        <w:pStyle w:val="boxedsummary"/>
        <w:pBdr>
          <w:bottom w:val="single" w:sz="6" w:space="1" w:color="auto"/>
        </w:pBdr>
        <w:ind w:firstLine="648"/>
        <w:rPr>
          <w:szCs w:val="22"/>
          <w:lang w:val="fr-FR"/>
        </w:rPr>
      </w:pPr>
      <w:r w:rsidRPr="00D65A8B">
        <w:rPr>
          <w:szCs w:val="22"/>
          <w:lang w:val="fr"/>
        </w:rPr>
        <w:t xml:space="preserve">Lors de la première </w:t>
      </w:r>
      <w:r w:rsidR="00D65A8B">
        <w:rPr>
          <w:szCs w:val="22"/>
          <w:lang w:val="fr"/>
        </w:rPr>
        <w:t>R</w:t>
      </w:r>
      <w:r w:rsidRPr="00D65A8B">
        <w:rPr>
          <w:szCs w:val="22"/>
          <w:lang w:val="fr"/>
        </w:rPr>
        <w:t>éunion des ministres de</w:t>
      </w:r>
      <w:r w:rsidR="00157C7C">
        <w:rPr>
          <w:szCs w:val="22"/>
          <w:lang w:val="fr"/>
        </w:rPr>
        <w:t xml:space="preserve"> la santé des pays océaniens en </w:t>
      </w:r>
      <w:r w:rsidRPr="00D65A8B">
        <w:rPr>
          <w:szCs w:val="22"/>
          <w:lang w:val="fr"/>
        </w:rPr>
        <w:t>1995, les ministres avaient fait part d</w:t>
      </w:r>
      <w:r w:rsidR="00157C7C">
        <w:rPr>
          <w:szCs w:val="22"/>
          <w:lang w:val="fr"/>
        </w:rPr>
        <w:t>e leur concept d'îles-santé. En </w:t>
      </w:r>
      <w:r w:rsidRPr="00D65A8B">
        <w:rPr>
          <w:szCs w:val="22"/>
          <w:lang w:val="fr"/>
        </w:rPr>
        <w:t xml:space="preserve">2015, les résultats d'une évaluation longue de vingt ans ont montré que le concept d'îles-santé devrait rester la vision fédératrice pour un développement sanitaire en Océanie mais que les progrès devaient faire l'objet d'un suivi. </w:t>
      </w:r>
    </w:p>
    <w:p w:rsidR="006220EE" w:rsidRPr="00D65A8B" w:rsidRDefault="00831E1C" w:rsidP="00757A5F">
      <w:pPr>
        <w:pStyle w:val="boxedsummary"/>
        <w:pBdr>
          <w:bottom w:val="single" w:sz="6" w:space="1" w:color="auto"/>
        </w:pBdr>
        <w:ind w:firstLine="648"/>
        <w:rPr>
          <w:szCs w:val="22"/>
          <w:lang w:val="fr-FR"/>
        </w:rPr>
      </w:pPr>
      <w:r w:rsidRPr="00D65A8B">
        <w:rPr>
          <w:szCs w:val="22"/>
          <w:lang w:val="fr"/>
        </w:rPr>
        <w:t xml:space="preserve"> Ce deuxième rapport d'étape du </w:t>
      </w:r>
      <w:hyperlink r:id="rId8" w:history="1">
        <w:r w:rsidRPr="00D65A8B">
          <w:rPr>
            <w:rStyle w:val="Hyperlink"/>
            <w:szCs w:val="22"/>
            <w:lang w:val="fr"/>
          </w:rPr>
          <w:t xml:space="preserve">Cadre de suivi des îles-santé </w:t>
        </w:r>
      </w:hyperlink>
      <w:r w:rsidRPr="00D65A8B">
        <w:rPr>
          <w:szCs w:val="22"/>
          <w:lang w:val="fr"/>
        </w:rPr>
        <w:t>propose un aperçu des progrès accomplis et des enjeux rencontrés. Il aborde également les possibilités et les actions prioritaires en vue d'améliorer le cadre et l'aligner avec les objectifs de développement durable (ODD) et d'autres initiatives régionales.</w:t>
      </w:r>
    </w:p>
    <w:p w:rsidR="0010524D" w:rsidRPr="00157C7C" w:rsidRDefault="00BF0425" w:rsidP="00757A5F">
      <w:pPr>
        <w:pStyle w:val="boxedsummary"/>
        <w:pBdr>
          <w:bottom w:val="single" w:sz="6" w:space="1" w:color="auto"/>
        </w:pBdr>
        <w:ind w:firstLine="648"/>
        <w:rPr>
          <w:szCs w:val="22"/>
          <w:lang w:val="fr-FR"/>
        </w:rPr>
      </w:pPr>
      <w:r w:rsidRPr="00157C7C">
        <w:rPr>
          <w:szCs w:val="22"/>
          <w:lang w:val="fr"/>
        </w:rPr>
        <w:t xml:space="preserve">Depuis le premier rapport d'étape, le secrétariat a procédé à une valorisation continue du cadre, à l'amélioration du système de communication et à la mise en place d'un outil d'établissement de rapports en ligne pour la collecte de données nationales et pour faciliter l'échange de données. 18 </w:t>
      </w:r>
      <w:r w:rsidR="00BF7AAB">
        <w:rPr>
          <w:lang w:val="fr-FR"/>
        </w:rPr>
        <w:t xml:space="preserve">États et Territoires insulaires du Pacifique </w:t>
      </w:r>
      <w:r w:rsidRPr="00157C7C">
        <w:rPr>
          <w:szCs w:val="22"/>
          <w:lang w:val="fr"/>
        </w:rPr>
        <w:t xml:space="preserve">sur 22 ont ainsi fourni des mises à jour pour ce rapport. </w:t>
      </w:r>
    </w:p>
    <w:p w:rsidR="009F5371" w:rsidRPr="001C7B45" w:rsidRDefault="003C411A" w:rsidP="00757A5F">
      <w:pPr>
        <w:pStyle w:val="boxedsummary"/>
        <w:pBdr>
          <w:bottom w:val="single" w:sz="6" w:space="1" w:color="auto"/>
        </w:pBdr>
        <w:ind w:firstLine="648"/>
        <w:rPr>
          <w:lang w:val="fr-FR"/>
        </w:rPr>
      </w:pPr>
      <w:r w:rsidRPr="001C7B45">
        <w:rPr>
          <w:lang w:val="fr"/>
        </w:rPr>
        <w:t xml:space="preserve">En dépit d'avancées importantes, le processus est confronté à de nombreux défis, à la fois pour atteindre cet objectif d'îles-santé et pour mesurer les progrès accomplis. Assurer le suivi du concept d'îles-santé demande un investissement considérable en matière de collecte, de compilation, d'analyse, de communication de données et d'utilisation de ces données dans les pays. </w:t>
      </w:r>
    </w:p>
    <w:p w:rsidR="009472FC" w:rsidRPr="00A75F05" w:rsidRDefault="003C411A" w:rsidP="00A75F05">
      <w:pPr>
        <w:pStyle w:val="boxedsummary"/>
        <w:pBdr>
          <w:bottom w:val="single" w:sz="6" w:space="1" w:color="auto"/>
        </w:pBdr>
        <w:rPr>
          <w:lang w:val="fr"/>
        </w:rPr>
      </w:pPr>
      <w:r w:rsidRPr="001C7B45">
        <w:rPr>
          <w:lang w:val="fr"/>
        </w:rPr>
        <w:t>Les ministres de la santé des pays océaniens sont invités à saluer les progrès accomplis et à approuver le second rapport d'étape du Cadre de suivi des îles-santé.</w:t>
      </w:r>
      <w:r>
        <w:rPr>
          <w:lang w:val="fr"/>
        </w:rPr>
        <w:t xml:space="preserve"> </w:t>
      </w:r>
    </w:p>
    <w:bookmarkEnd w:id="0"/>
    <w:bookmarkEnd w:id="1"/>
    <w:p w:rsidR="00426C42" w:rsidRPr="00EF25FF" w:rsidRDefault="00BD60F7" w:rsidP="007A5512">
      <w:pPr>
        <w:pStyle w:val="Heading1"/>
        <w:rPr>
          <w:lang w:val="fr-FR"/>
        </w:rPr>
      </w:pPr>
      <w:r>
        <w:rPr>
          <w:lang w:val="fr"/>
        </w:rPr>
        <w:lastRenderedPageBreak/>
        <w:t>1.  CONTEXTE</w:t>
      </w:r>
    </w:p>
    <w:p w:rsidR="0019451E" w:rsidRPr="001832A7" w:rsidRDefault="007960A1" w:rsidP="00301D81">
      <w:pPr>
        <w:rPr>
          <w:lang w:val="fr-FR"/>
        </w:rPr>
      </w:pPr>
      <w:r w:rsidRPr="001832A7">
        <w:rPr>
          <w:lang w:val="fr"/>
        </w:rPr>
        <w:t>Les ministres de la santé des pays océaniens ont défini le concept d'îles-santé l</w:t>
      </w:r>
      <w:r w:rsidR="001832A7">
        <w:rPr>
          <w:lang w:val="fr"/>
        </w:rPr>
        <w:t>ors de leur première réunion en </w:t>
      </w:r>
      <w:r w:rsidRPr="001832A7">
        <w:rPr>
          <w:lang w:val="fr"/>
        </w:rPr>
        <w:t xml:space="preserve">1995 en tant que concept fédérateur pour la santé et le bien-être dans le Pacifique. </w:t>
      </w:r>
    </w:p>
    <w:p w:rsidR="00573F2B" w:rsidRPr="002321FA" w:rsidRDefault="0019451E" w:rsidP="00301D81">
      <w:pPr>
        <w:rPr>
          <w:lang w:val="fr-FR"/>
        </w:rPr>
      </w:pPr>
      <w:r w:rsidRPr="002321FA">
        <w:rPr>
          <w:lang w:val="fr"/>
        </w:rPr>
        <w:t>Une évaluation sur vingt ans du conc</w:t>
      </w:r>
      <w:r w:rsidR="00F04C06" w:rsidRPr="002321FA">
        <w:rPr>
          <w:lang w:val="fr"/>
        </w:rPr>
        <w:t>ept d'îles-santé a été menée en </w:t>
      </w:r>
      <w:r w:rsidRPr="002321FA">
        <w:rPr>
          <w:lang w:val="fr"/>
        </w:rPr>
        <w:t xml:space="preserve">2015. À la suite de cette évaluation, les ministres de la santé sont convenus d'élaborer le cadre de suivi des îles-santé ainsi que les indicateurs clés afin de suivre les progrès accomplis. En réponse à cela, la Communauté du Pacifique (SPC) et l'Organisation mondiale de la Santé (OMS), agissant comme secrétariat, ont élaboré le cadre et le mécanisme d'établissement des rapports. En outre, ils ont travaillé en coordination avec les </w:t>
      </w:r>
      <w:r w:rsidR="00F86CB7" w:rsidRPr="002321FA">
        <w:rPr>
          <w:lang w:val="fr"/>
        </w:rPr>
        <w:t>États et Territoires insulaires du Pacifique</w:t>
      </w:r>
      <w:r w:rsidRPr="002321FA">
        <w:rPr>
          <w:lang w:val="fr"/>
        </w:rPr>
        <w:t xml:space="preserve"> afin d'établir le premier rapport d'étape. Les ministres de la santé ont adopté le rapport d'étape (</w:t>
      </w:r>
      <w:hyperlink r:id="rId9" w:history="1">
        <w:r w:rsidRPr="002321FA">
          <w:rPr>
            <w:rStyle w:val="Hyperlink"/>
            <w:lang w:val="fr"/>
          </w:rPr>
          <w:t>PIC12/1</w:t>
        </w:r>
      </w:hyperlink>
      <w:r w:rsidRPr="002321FA">
        <w:rPr>
          <w:lang w:val="fr"/>
        </w:rPr>
        <w:t xml:space="preserve">) et le </w:t>
      </w:r>
      <w:hyperlink r:id="rId10" w:history="1">
        <w:r w:rsidRPr="002321FA">
          <w:rPr>
            <w:rStyle w:val="Hyperlink"/>
            <w:lang w:val="fr"/>
          </w:rPr>
          <w:t>Cadre de suivi des îles-santé</w:t>
        </w:r>
      </w:hyperlink>
      <w:r w:rsidR="00F86CB7" w:rsidRPr="002321FA">
        <w:rPr>
          <w:lang w:val="fr"/>
        </w:rPr>
        <w:t xml:space="preserve"> en </w:t>
      </w:r>
      <w:r w:rsidRPr="002321FA">
        <w:rPr>
          <w:lang w:val="fr"/>
        </w:rPr>
        <w:t>août</w:t>
      </w:r>
      <w:r w:rsidR="00F86CB7" w:rsidRPr="002321FA">
        <w:rPr>
          <w:lang w:val="fr"/>
        </w:rPr>
        <w:t> </w:t>
      </w:r>
      <w:r w:rsidRPr="002321FA">
        <w:rPr>
          <w:lang w:val="fr"/>
        </w:rPr>
        <w:t xml:space="preserve">2017. </w:t>
      </w:r>
    </w:p>
    <w:p w:rsidR="0074006F" w:rsidRPr="00EF25FF" w:rsidRDefault="0068595F" w:rsidP="00301D81">
      <w:pPr>
        <w:rPr>
          <w:lang w:val="fr-FR"/>
        </w:rPr>
      </w:pPr>
      <w:r w:rsidRPr="00BF6DBC">
        <w:rPr>
          <w:lang w:val="fr"/>
        </w:rPr>
        <w:t>L'appropriation nationale du cadr</w:t>
      </w:r>
      <w:r w:rsidR="00BF6DBC">
        <w:rPr>
          <w:lang w:val="fr"/>
        </w:rPr>
        <w:t>e est essentielle pour une mise en </w:t>
      </w:r>
      <w:r w:rsidR="00E56D8D" w:rsidRPr="00BF6DBC">
        <w:rPr>
          <w:lang w:val="fr"/>
        </w:rPr>
        <w:t>œuvre</w:t>
      </w:r>
      <w:r w:rsidRPr="00BF6DBC">
        <w:rPr>
          <w:lang w:val="fr"/>
        </w:rPr>
        <w:t xml:space="preserve"> réussie. Tout en collectant et compilant les données en vue du rapport d'étape, le secrétariat a tenu des consultations officielles avec les pays pour confirmer leurs résultats. Sauf indication contraire, toutes les estimations ont été vérifiées à la suite des consultations avec les pays. Le secrétariat présente ce deuxième rapport d'étape (Annexe 1) dans le cadre de ses efforts continus en vue de fournir un accès amélioré à des statistiques comparables de qualité élevée sur des mesures essentielles sur la santé de la population et les systèmes de santé nationaux.</w:t>
      </w:r>
      <w:r>
        <w:rPr>
          <w:lang w:val="fr"/>
        </w:rPr>
        <w:t xml:space="preserve"> </w:t>
      </w:r>
    </w:p>
    <w:p w:rsidR="009E0188" w:rsidRPr="00EF25FF" w:rsidRDefault="00BD60F7" w:rsidP="007A5512">
      <w:pPr>
        <w:pStyle w:val="Heading1"/>
        <w:rPr>
          <w:lang w:val="fr-FR"/>
        </w:rPr>
      </w:pPr>
      <w:r>
        <w:rPr>
          <w:lang w:val="fr"/>
        </w:rPr>
        <w:t>2.  PROGRÈS ET RÉALISATIONS</w:t>
      </w:r>
    </w:p>
    <w:p w:rsidR="007328B2" w:rsidRPr="007A19A5" w:rsidRDefault="007328B2" w:rsidP="007A5512">
      <w:pPr>
        <w:pStyle w:val="Heading2"/>
        <w:rPr>
          <w:lang w:val="fr-FR"/>
        </w:rPr>
      </w:pPr>
      <w:r w:rsidRPr="007A19A5">
        <w:rPr>
          <w:lang w:val="fr"/>
        </w:rPr>
        <w:t>2.1 Cadre de suivi des îles-santé et premier rapport d'étape</w:t>
      </w:r>
    </w:p>
    <w:p w:rsidR="008564B1" w:rsidRPr="007A19A5" w:rsidRDefault="00BE5A5D" w:rsidP="00301D81">
      <w:pPr>
        <w:rPr>
          <w:lang w:val="fr-FR"/>
        </w:rPr>
      </w:pPr>
      <w:r w:rsidRPr="007A19A5">
        <w:rPr>
          <w:lang w:val="fr"/>
        </w:rPr>
        <w:t>Le cadre de suivi des îles-santé comprend 48 indicateurs obligatoires, dont 33 indicateurs clés et 15 indicateurs complémentaires, et 31 indicateurs facultatifs. Les indicateurs sont ca</w:t>
      </w:r>
      <w:r w:rsidR="007A19A5">
        <w:rPr>
          <w:lang w:val="fr"/>
        </w:rPr>
        <w:t xml:space="preserve">tégorisés en quatre sections : </w:t>
      </w:r>
      <w:r w:rsidRPr="007A19A5">
        <w:rPr>
          <w:lang w:val="fr"/>
        </w:rPr>
        <w:t>i)</w:t>
      </w:r>
      <w:bookmarkStart w:id="2" w:name="_Toc508094182"/>
      <w:r w:rsidR="007A19A5">
        <w:rPr>
          <w:lang w:val="fr"/>
        </w:rPr>
        <w:t xml:space="preserve"> </w:t>
      </w:r>
      <w:r w:rsidRPr="007A19A5">
        <w:rPr>
          <w:lang w:val="fr"/>
        </w:rPr>
        <w:t xml:space="preserve">renforcer le leadership, la gouvernance et la </w:t>
      </w:r>
      <w:bookmarkStart w:id="3" w:name="_Toc508094188"/>
      <w:bookmarkEnd w:id="2"/>
      <w:r w:rsidR="00E56D8D" w:rsidRPr="007A19A5">
        <w:rPr>
          <w:lang w:val="fr"/>
        </w:rPr>
        <w:t>responsabilisation ;</w:t>
      </w:r>
      <w:r w:rsidR="007A19A5">
        <w:rPr>
          <w:lang w:val="fr"/>
        </w:rPr>
        <w:t> </w:t>
      </w:r>
      <w:r w:rsidRPr="007A19A5">
        <w:rPr>
          <w:lang w:val="fr"/>
        </w:rPr>
        <w:t xml:space="preserve">ii) réduire le nombre de maladies évitables et de décès </w:t>
      </w:r>
      <w:bookmarkEnd w:id="3"/>
      <w:r w:rsidR="00E56D8D" w:rsidRPr="007A19A5">
        <w:rPr>
          <w:lang w:val="fr"/>
        </w:rPr>
        <w:t>prématurés ;</w:t>
      </w:r>
      <w:r w:rsidR="007A19A5">
        <w:rPr>
          <w:lang w:val="fr"/>
        </w:rPr>
        <w:t xml:space="preserve"> </w:t>
      </w:r>
      <w:r w:rsidRPr="007A19A5">
        <w:rPr>
          <w:lang w:val="fr"/>
        </w:rPr>
        <w:t xml:space="preserve">iii) élever des enfants sains de corps et </w:t>
      </w:r>
      <w:r w:rsidR="00E56D8D" w:rsidRPr="007A19A5">
        <w:rPr>
          <w:lang w:val="fr"/>
        </w:rPr>
        <w:t>d’esprit ;</w:t>
      </w:r>
      <w:r w:rsidR="007A19A5">
        <w:rPr>
          <w:lang w:val="fr"/>
        </w:rPr>
        <w:t xml:space="preserve"> et </w:t>
      </w:r>
      <w:r w:rsidRPr="007A19A5">
        <w:rPr>
          <w:lang w:val="fr"/>
        </w:rPr>
        <w:t>iv) promouvoir l'équilibre écologique.</w:t>
      </w:r>
    </w:p>
    <w:p w:rsidR="008F1527" w:rsidRPr="00042318" w:rsidRDefault="00BE4E0F" w:rsidP="00301D81">
      <w:pPr>
        <w:rPr>
          <w:lang w:val="fr-FR"/>
        </w:rPr>
      </w:pPr>
      <w:r w:rsidRPr="00042318">
        <w:rPr>
          <w:lang w:val="fr"/>
        </w:rPr>
        <w:t>Il n'est pas demandé aux pays de fournir de rapport sur les indicateurs facultatifs mais ils sont encouragés à choisir les indicateurs les mieux adaptés à leurs besoins.</w:t>
      </w:r>
    </w:p>
    <w:p w:rsidR="0046295B" w:rsidRPr="00EF25FF" w:rsidRDefault="002C18C1" w:rsidP="00301D81">
      <w:pPr>
        <w:rPr>
          <w:highlight w:val="yellow"/>
          <w:lang w:val="fr-FR"/>
        </w:rPr>
      </w:pPr>
      <w:r w:rsidRPr="00042318">
        <w:rPr>
          <w:lang w:val="fr"/>
        </w:rPr>
        <w:t xml:space="preserve">En préparation du premier rapport d'étape, le secrétariat a collaboré avec des spécialistes et des parties prenantes pour selectionner les indicateurs existants les plus pertinents par rapport aux éléments clés du concept d'îles-santé. Pour réduire la charge que représente la production d'un rapport pour un pays, </w:t>
      </w:r>
      <w:r w:rsidRPr="00042318">
        <w:rPr>
          <w:lang w:val="fr"/>
        </w:rPr>
        <w:lastRenderedPageBreak/>
        <w:t xml:space="preserve">les indicateurs </w:t>
      </w:r>
      <w:r w:rsidR="00662BC6" w:rsidRPr="00042318">
        <w:rPr>
          <w:lang w:val="fr"/>
        </w:rPr>
        <w:t>sélectionnées</w:t>
      </w:r>
      <w:r w:rsidRPr="00042318">
        <w:rPr>
          <w:lang w:val="fr"/>
        </w:rPr>
        <w:t xml:space="preserve"> ont été alignés avec les efforts continus de suivi à l'échelon mondial</w:t>
      </w:r>
      <w:r w:rsidR="00662BC6">
        <w:rPr>
          <w:lang w:val="fr"/>
        </w:rPr>
        <w:t xml:space="preserve"> </w:t>
      </w:r>
      <w:r w:rsidRPr="00042318">
        <w:rPr>
          <w:lang w:val="fr"/>
        </w:rPr>
        <w:t xml:space="preserve">- et ont découlé largement des cadres internationaux y compris </w:t>
      </w:r>
      <w:r w:rsidR="00DA5282" w:rsidRPr="00042318">
        <w:rPr>
          <w:lang w:val="fr"/>
        </w:rPr>
        <w:t>d</w:t>
      </w:r>
      <w:r w:rsidRPr="00042318">
        <w:rPr>
          <w:lang w:val="fr"/>
        </w:rPr>
        <w:t xml:space="preserve">es objectifs de développement durable (ODD). </w:t>
      </w:r>
      <w:r w:rsidR="00BE4E0F" w:rsidRPr="00042318">
        <w:rPr>
          <w:lang w:val="fr"/>
        </w:rPr>
        <w:t xml:space="preserve">Le secrétariat a coordonné avec les </w:t>
      </w:r>
      <w:r w:rsidR="00042318">
        <w:rPr>
          <w:lang w:val="fr"/>
        </w:rPr>
        <w:t>États et Territoires insulaires du Pacifique</w:t>
      </w:r>
      <w:r w:rsidR="00BE4E0F" w:rsidRPr="00042318">
        <w:rPr>
          <w:lang w:val="fr"/>
        </w:rPr>
        <w:t xml:space="preserve"> pour produire le premier rapport d'étape – ceci a servi de base pour chacun des indicateurs obligatoires. 21 des 22 </w:t>
      </w:r>
      <w:r w:rsidR="00042318">
        <w:rPr>
          <w:lang w:val="fr"/>
        </w:rPr>
        <w:t>États et Territoires insulaires du Pacifique</w:t>
      </w:r>
      <w:r w:rsidR="00BE4E0F" w:rsidRPr="00042318">
        <w:rPr>
          <w:lang w:val="fr"/>
        </w:rPr>
        <w:t xml:space="preserve"> contactés ont fournis des données mises à jour.</w:t>
      </w:r>
      <w:r w:rsidR="00BE4E0F" w:rsidRPr="00042318">
        <w:rPr>
          <w:rStyle w:val="FootnoteReference"/>
          <w:lang w:val="fr"/>
        </w:rPr>
        <w:footnoteReference w:id="1"/>
      </w:r>
      <w:r w:rsidR="00BE4E0F" w:rsidRPr="00042318">
        <w:rPr>
          <w:lang w:val="fr"/>
        </w:rPr>
        <w:t>Le premier rapport d'étape rend compte des données initiales, aborde les exigences nécessaires à un suivi solide des progrès accomplis, synt</w:t>
      </w:r>
      <w:r w:rsidR="00D7677E">
        <w:rPr>
          <w:lang w:val="fr"/>
        </w:rPr>
        <w:t>hétise l'élaboration et la mise </w:t>
      </w:r>
      <w:r w:rsidR="00BE4E0F" w:rsidRPr="00042318">
        <w:rPr>
          <w:lang w:val="fr"/>
        </w:rPr>
        <w:t>en</w:t>
      </w:r>
      <w:r w:rsidR="00D7677E">
        <w:rPr>
          <w:lang w:val="fr"/>
        </w:rPr>
        <w:t> </w:t>
      </w:r>
      <w:r w:rsidR="00E56D8D" w:rsidRPr="00042318">
        <w:rPr>
          <w:lang w:val="fr"/>
        </w:rPr>
        <w:t>œuvre</w:t>
      </w:r>
      <w:r w:rsidR="00BE4E0F" w:rsidRPr="00042318">
        <w:rPr>
          <w:lang w:val="fr"/>
        </w:rPr>
        <w:t xml:space="preserve"> du cadre, et identifie les questions essentielles qui devront être étudiées lors des prochaines réunions. </w:t>
      </w:r>
    </w:p>
    <w:p w:rsidR="008A4C24" w:rsidRPr="00C06F4B" w:rsidRDefault="007328B2" w:rsidP="007A5512">
      <w:pPr>
        <w:pStyle w:val="Heading2"/>
        <w:rPr>
          <w:lang w:val="fr-FR"/>
        </w:rPr>
      </w:pPr>
      <w:r w:rsidRPr="00C06F4B">
        <w:rPr>
          <w:lang w:val="fr"/>
        </w:rPr>
        <w:t>2.3 Travaux en cours</w:t>
      </w:r>
    </w:p>
    <w:p w:rsidR="00BA4BE0" w:rsidRPr="00C06F4B" w:rsidRDefault="00CA12E7" w:rsidP="00301D81">
      <w:pPr>
        <w:rPr>
          <w:lang w:val="fr-FR"/>
        </w:rPr>
      </w:pPr>
      <w:r w:rsidRPr="00C06F4B">
        <w:rPr>
          <w:lang w:val="fr"/>
        </w:rPr>
        <w:t xml:space="preserve">Les ministres et les directeurs de la santé des pays océaniens reconnaissent que le cadre doit évoluer et être amélioré continuellement, et que le secrétariat doit régulièrement le réévaluer pour identifier les domaines à améliorer. </w:t>
      </w:r>
      <w:r w:rsidR="00DA5282" w:rsidRPr="00C06F4B">
        <w:rPr>
          <w:rFonts w:cs="Times New Roman"/>
          <w:lang w:val="fr"/>
        </w:rPr>
        <w:t>À</w:t>
      </w:r>
      <w:r w:rsidR="00C06F4B">
        <w:rPr>
          <w:lang w:val="fr"/>
        </w:rPr>
        <w:t xml:space="preserve"> titre d'exemple, en </w:t>
      </w:r>
      <w:r w:rsidRPr="00C06F4B">
        <w:rPr>
          <w:lang w:val="fr"/>
        </w:rPr>
        <w:t>avril</w:t>
      </w:r>
      <w:r w:rsidR="00C06F4B">
        <w:rPr>
          <w:lang w:val="fr"/>
        </w:rPr>
        <w:t> </w:t>
      </w:r>
      <w:r w:rsidRPr="00C06F4B">
        <w:rPr>
          <w:lang w:val="fr"/>
        </w:rPr>
        <w:t>2018, les directeurs de la santé des pays océaniens sont convenus de modifier les trois indicateurs pour les aligner avec les normes d'établissement de rapports les plus récentes à l'échelon mondial.</w:t>
      </w:r>
      <w:r w:rsidRPr="00C06F4B">
        <w:rPr>
          <w:rStyle w:val="FootnoteReference"/>
          <w:rFonts w:eastAsia="Malgun Gothic" w:cs="Times New Roman"/>
          <w:lang w:val="fr"/>
        </w:rPr>
        <w:footnoteReference w:id="2"/>
      </w:r>
      <w:r w:rsidRPr="00C06F4B">
        <w:rPr>
          <w:lang w:val="fr"/>
        </w:rPr>
        <w:t>Le secrétariat a mis en place des groupes d'experts</w:t>
      </w:r>
      <w:r w:rsidRPr="00C06F4B">
        <w:rPr>
          <w:rStyle w:val="FootnoteReference"/>
          <w:rFonts w:eastAsia="Malgun Gothic" w:cs="Times New Roman"/>
          <w:lang w:val="fr"/>
        </w:rPr>
        <w:footnoteReference w:id="3"/>
      </w:r>
      <w:r w:rsidRPr="00C06F4B">
        <w:rPr>
          <w:lang w:val="fr"/>
        </w:rPr>
        <w:t xml:space="preserve"> pour aider les évaluateurs externes avec une révision des indicateurs supplémentaire. </w:t>
      </w:r>
    </w:p>
    <w:p w:rsidR="007A62A9" w:rsidRPr="00C06F4B" w:rsidRDefault="005350AD" w:rsidP="00757A5F">
      <w:pPr>
        <w:rPr>
          <w:lang w:val="fr-FR"/>
        </w:rPr>
      </w:pPr>
      <w:r w:rsidRPr="00C06F4B">
        <w:rPr>
          <w:lang w:val="fr"/>
        </w:rPr>
        <w:t>En préparation du second rapport d'étape, un outil d'établissement de ra</w:t>
      </w:r>
      <w:r w:rsidR="00C06F4B">
        <w:rPr>
          <w:lang w:val="fr"/>
        </w:rPr>
        <w:t>pports en ligne a été adopté en </w:t>
      </w:r>
      <w:r w:rsidRPr="00C06F4B">
        <w:rPr>
          <w:lang w:val="fr"/>
        </w:rPr>
        <w:t>2018 pour la collecte de données pays et</w:t>
      </w:r>
      <w:r w:rsidR="00684BFD" w:rsidRPr="00C06F4B">
        <w:rPr>
          <w:lang w:val="fr"/>
        </w:rPr>
        <w:t xml:space="preserve"> pour</w:t>
      </w:r>
      <w:r w:rsidRPr="00C06F4B">
        <w:rPr>
          <w:lang w:val="fr"/>
        </w:rPr>
        <w:t xml:space="preserve"> faciliter les échanges</w:t>
      </w:r>
      <w:r w:rsidR="00BF7AAB" w:rsidRPr="00C06F4B">
        <w:rPr>
          <w:lang w:val="fr"/>
        </w:rPr>
        <w:t xml:space="preserve"> de données entre les États M</w:t>
      </w:r>
      <w:r w:rsidRPr="00C06F4B">
        <w:rPr>
          <w:lang w:val="fr"/>
        </w:rPr>
        <w:t>embres et le Bureau régional de l'OMS pour le Pacifique occidental. Cet outil en ligne vise à réduire la charge de travail que représente la mise à jour manuelle des informations.</w:t>
      </w:r>
      <w:r w:rsidRPr="00C06F4B">
        <w:rPr>
          <w:rStyle w:val="FootnoteReference"/>
          <w:rFonts w:eastAsia="Malgun Gothic" w:cs="Times New Roman"/>
          <w:lang w:val="fr"/>
        </w:rPr>
        <w:footnoteReference w:id="4"/>
      </w:r>
      <w:r w:rsidRPr="00C06F4B">
        <w:rPr>
          <w:lang w:val="fr"/>
        </w:rPr>
        <w:t xml:space="preserve">Près de deux tiers des pays qui ont pris part à la collecte de données 2018 ont soumis leurs données par voie électronique. </w:t>
      </w:r>
    </w:p>
    <w:p w:rsidR="00F2053C" w:rsidRPr="00082514" w:rsidRDefault="00906D03" w:rsidP="007A5512">
      <w:pPr>
        <w:pStyle w:val="Heading2"/>
        <w:rPr>
          <w:lang w:val="fr-FR"/>
        </w:rPr>
      </w:pPr>
      <w:r w:rsidRPr="00082514">
        <w:rPr>
          <w:lang w:val="fr"/>
        </w:rPr>
        <w:lastRenderedPageBreak/>
        <w:t>2.2 Deuxième rapport de suivi sur les progrès accomplis sur le concept d'îles-santé</w:t>
      </w:r>
    </w:p>
    <w:p w:rsidR="008564B1" w:rsidRPr="00EF25FF" w:rsidRDefault="00C32183" w:rsidP="007A5512">
      <w:pPr>
        <w:rPr>
          <w:lang w:val="fr-FR"/>
        </w:rPr>
      </w:pPr>
      <w:r w:rsidRPr="00082514">
        <w:rPr>
          <w:lang w:val="fr"/>
        </w:rPr>
        <w:t xml:space="preserve">Le secrétariat a finalisé le deuxième rapport d'étape en utilisant le Cadre de suivi des îles-santé comme guide. 18 des 22 </w:t>
      </w:r>
      <w:r w:rsidR="00042318" w:rsidRPr="00082514">
        <w:rPr>
          <w:lang w:val="fr"/>
        </w:rPr>
        <w:t>États et Territoires insulaires du Pacifique</w:t>
      </w:r>
      <w:r w:rsidRPr="00082514">
        <w:rPr>
          <w:lang w:val="fr"/>
        </w:rPr>
        <w:t xml:space="preserve"> contactés ont vérifié les données existantes et ont fourni des mises à jour. En plus des comptes rendus sur les indicateurs officiels, le rapport présente le progrès accompli à l</w:t>
      </w:r>
      <w:r w:rsidR="00082514">
        <w:rPr>
          <w:lang w:val="fr"/>
        </w:rPr>
        <w:t>'échelle régionale dans la mise </w:t>
      </w:r>
      <w:r w:rsidRPr="00082514">
        <w:rPr>
          <w:lang w:val="fr"/>
        </w:rPr>
        <w:t>en</w:t>
      </w:r>
      <w:r w:rsidR="00082514">
        <w:rPr>
          <w:lang w:val="fr"/>
        </w:rPr>
        <w:t> </w:t>
      </w:r>
      <w:r w:rsidR="00E56D8D" w:rsidRPr="00082514">
        <w:rPr>
          <w:lang w:val="fr"/>
        </w:rPr>
        <w:t>œuvre</w:t>
      </w:r>
      <w:r w:rsidRPr="00082514">
        <w:rPr>
          <w:lang w:val="fr"/>
        </w:rPr>
        <w:t xml:space="preserve"> du cadre, évalue les tendances, les avancées et identifie les lacunes dans chaque pays, et souligne les liens essentiels avec d'autres initiatives régionales ainsi qu'avec d'autres priorités mondiales et régionales telles que la CSU et la diminution du nombre de maladies non transmissibles. Il existe également des liens entre la santé, la sécurité régionale et le changement climatique - qui ont abouti à l'adoption du Plan de coordination de la sécurité sanitaire du Pacifique et le Plan d'action régional pour la lutte contre le changement climatique. Ces priorités et indicateurs qui se chevauchent font qu'il est nécessaire, si ce n'est obligatoire, que le Cadre de suivi des îles-santé soit ajusté et aligné avec les futurs plans régionaux et cadres de suivi.</w:t>
      </w:r>
    </w:p>
    <w:p w:rsidR="00E2631E" w:rsidRPr="00EF25FF" w:rsidRDefault="00A44115" w:rsidP="00542EFF">
      <w:pPr>
        <w:pStyle w:val="Heading1"/>
        <w:tabs>
          <w:tab w:val="center" w:pos="4513"/>
          <w:tab w:val="right" w:pos="9027"/>
        </w:tabs>
        <w:jc w:val="left"/>
        <w:rPr>
          <w:lang w:val="fr-FR"/>
        </w:rPr>
      </w:pPr>
      <w:r>
        <w:rPr>
          <w:b w:val="0"/>
          <w:bCs w:val="0"/>
          <w:lang w:val="fr"/>
        </w:rPr>
        <w:tab/>
      </w:r>
      <w:r>
        <w:rPr>
          <w:lang w:val="fr"/>
        </w:rPr>
        <w:t>3.</w:t>
      </w:r>
      <w:r>
        <w:rPr>
          <w:b w:val="0"/>
          <w:bCs w:val="0"/>
          <w:lang w:val="fr"/>
        </w:rPr>
        <w:t xml:space="preserve"> </w:t>
      </w:r>
      <w:r>
        <w:rPr>
          <w:lang w:val="fr"/>
        </w:rPr>
        <w:t xml:space="preserve"> </w:t>
      </w:r>
      <w:r w:rsidR="003A3879">
        <w:rPr>
          <w:lang w:val="fr"/>
        </w:rPr>
        <w:t>D</w:t>
      </w:r>
      <w:r w:rsidR="003A3879">
        <w:rPr>
          <w:rFonts w:cs="Times New Roman"/>
          <w:lang w:val="fr"/>
        </w:rPr>
        <w:t>É</w:t>
      </w:r>
      <w:r w:rsidR="003A3879">
        <w:rPr>
          <w:lang w:val="fr"/>
        </w:rPr>
        <w:t>FIS</w:t>
      </w:r>
    </w:p>
    <w:p w:rsidR="00482DD7" w:rsidRPr="00082514" w:rsidRDefault="00E858B4" w:rsidP="007A5512">
      <w:pPr>
        <w:pStyle w:val="Heading2"/>
        <w:rPr>
          <w:lang w:val="fr-FR"/>
        </w:rPr>
      </w:pPr>
      <w:r w:rsidRPr="00082514">
        <w:rPr>
          <w:lang w:val="fr"/>
        </w:rPr>
        <w:t xml:space="preserve">3.1 Structure du cadre et indicateurs </w:t>
      </w:r>
    </w:p>
    <w:p w:rsidR="00F75CC4" w:rsidRPr="00082514" w:rsidRDefault="00B617B1" w:rsidP="00301D81">
      <w:pPr>
        <w:rPr>
          <w:lang w:val="fr-FR"/>
        </w:rPr>
      </w:pPr>
      <w:r w:rsidRPr="00082514">
        <w:rPr>
          <w:lang w:val="fr"/>
        </w:rPr>
        <w:t xml:space="preserve">Le deuxième rapport d'étape présente des limites. Des différences sont apparues dans les taux de réponse sur les indicateurs spécifiques, les indicateurs liés aux indicateurs des ODD obtenant le plus de réponses. Huit indicateurs ne disposaient pas de données de base complètes, et ces indicateurs continuent de constituer un enjeu pour la plupart des </w:t>
      </w:r>
      <w:r w:rsidR="00042318" w:rsidRPr="00082514">
        <w:rPr>
          <w:lang w:val="fr"/>
        </w:rPr>
        <w:t>États et Territoires insulaires du Pacifique</w:t>
      </w:r>
      <w:r w:rsidRPr="00082514">
        <w:rPr>
          <w:lang w:val="fr"/>
        </w:rPr>
        <w:t xml:space="preserve">. L'enjeu le plus courant est l'absence de données à l'échelle nationale ou mondiale. Tout aussi important, certains des indicateurs courants n'apportent aucun éclaircissement quant à ce qu'il faut mesurer. </w:t>
      </w:r>
    </w:p>
    <w:p w:rsidR="00CE04B9" w:rsidRPr="00082514" w:rsidRDefault="0085787F" w:rsidP="00301D81">
      <w:pPr>
        <w:rPr>
          <w:lang w:val="fr-FR"/>
        </w:rPr>
      </w:pPr>
      <w:r>
        <w:rPr>
          <w:lang w:val="fr"/>
        </w:rPr>
        <w:t xml:space="preserve">May one </w:t>
      </w:r>
      <w:proofErr w:type="spellStart"/>
      <w:r>
        <w:rPr>
          <w:lang w:val="fr"/>
        </w:rPr>
        <w:t>mon</w:t>
      </w:r>
      <w:r w:rsidR="00CA0BF9" w:rsidRPr="00082514">
        <w:rPr>
          <w:lang w:val="fr"/>
        </w:rPr>
        <w:t>Comme</w:t>
      </w:r>
      <w:proofErr w:type="spellEnd"/>
      <w:r w:rsidR="00CA0BF9" w:rsidRPr="00082514">
        <w:rPr>
          <w:lang w:val="fr"/>
        </w:rPr>
        <w:t xml:space="preserve"> noté, le cadre continuera d'évoluer. Étant donné que les indicateurs mondiaux tels que les ODD se construisent chaque jour, les indicateurs du cadre devront être révisés. Compte tenu de l'évaluation de 2018 des indicateurs du cadre et du système d'établissement de rapports, le secrétariat recommande des modifications supplémentaires pour certains indicateurs afin de mieux les aligner avec les indicateurs des ODD (cf. les modifications proposées en Annexe 2). </w:t>
      </w:r>
    </w:p>
    <w:p w:rsidR="007A62A9" w:rsidRPr="0085787F" w:rsidRDefault="00B85433" w:rsidP="00757A5F">
      <w:pPr>
        <w:rPr>
          <w:rFonts w:eastAsia="Malgun Gothic" w:cs="Times New Roman"/>
          <w:bCs/>
          <w:lang w:val="fr-FR"/>
        </w:rPr>
      </w:pPr>
      <w:r w:rsidRPr="0085787F">
        <w:rPr>
          <w:lang w:val="fr"/>
        </w:rPr>
        <w:t xml:space="preserve">Pendant le processus d'évaluation, le secrétariat a également pris note des enjeux qui doivent être étudiés au sein de la structure existante du Cadre de suivi d'îles-santé. Le secrétariat reconnaît que les directeurs et ministres de la santé des pays océaniens ne souhaitent pas de modifications à grande échelle parce qu'ils ont déjà aprouvé le cadre et se sont engagés. La recommandation à retenir est donc </w:t>
      </w:r>
      <w:r w:rsidRPr="0085787F">
        <w:rPr>
          <w:lang w:val="fr"/>
        </w:rPr>
        <w:lastRenderedPageBreak/>
        <w:t>de maintenir la structure</w:t>
      </w:r>
      <w:r w:rsidR="0085787F">
        <w:rPr>
          <w:lang w:val="fr"/>
        </w:rPr>
        <w:t xml:space="preserve"> actuelle, de continuer la mise </w:t>
      </w:r>
      <w:r w:rsidRPr="0085787F">
        <w:rPr>
          <w:lang w:val="fr"/>
        </w:rPr>
        <w:t>en</w:t>
      </w:r>
      <w:r w:rsidR="0085787F">
        <w:rPr>
          <w:lang w:val="fr"/>
        </w:rPr>
        <w:t> </w:t>
      </w:r>
      <w:r w:rsidR="00E56D8D" w:rsidRPr="0085787F">
        <w:rPr>
          <w:lang w:val="fr"/>
        </w:rPr>
        <w:t>œuvre</w:t>
      </w:r>
      <w:r w:rsidRPr="0085787F">
        <w:rPr>
          <w:lang w:val="fr"/>
        </w:rPr>
        <w:t xml:space="preserve"> du cadre et de recueillir les données d'expérience avant de proposer des modifications supplémentaires. </w:t>
      </w:r>
    </w:p>
    <w:p w:rsidR="00B1026A" w:rsidRPr="0085787F" w:rsidRDefault="00E858B4" w:rsidP="007A5512">
      <w:pPr>
        <w:pStyle w:val="Heading2"/>
        <w:rPr>
          <w:lang w:val="fr-FR"/>
        </w:rPr>
      </w:pPr>
      <w:r w:rsidRPr="0085787F">
        <w:rPr>
          <w:lang w:val="fr"/>
        </w:rPr>
        <w:t>3.2 Collecte de données, sources et analyse</w:t>
      </w:r>
    </w:p>
    <w:p w:rsidR="00F21BFB" w:rsidRPr="0085787F" w:rsidRDefault="00941734" w:rsidP="00301D81">
      <w:pPr>
        <w:rPr>
          <w:lang w:val="fr-FR"/>
        </w:rPr>
      </w:pPr>
      <w:r w:rsidRPr="0085787F">
        <w:rPr>
          <w:lang w:val="fr"/>
        </w:rPr>
        <w:t xml:space="preserve">Lors de la collecte 2018 de données, 16 des 22 </w:t>
      </w:r>
      <w:r w:rsidR="00042318" w:rsidRPr="0085787F">
        <w:rPr>
          <w:lang w:val="fr"/>
        </w:rPr>
        <w:t>États et Territoires insulaires du Pacifique</w:t>
      </w:r>
      <w:r w:rsidRPr="0085787F">
        <w:rPr>
          <w:lang w:val="fr"/>
        </w:rPr>
        <w:t xml:space="preserve"> (73 % de taux de participation, mais cinq pays de moins par rapport à la première collecte) ont pris part au processus. Les pays ont fait part de leurs difficultés à respecter les délais et ont pris note de la nécessité d'un engagement continu. En outre, l'exhaustivité et la précision du rapport reposent sur la qualité des données nationales.</w:t>
      </w:r>
    </w:p>
    <w:p w:rsidR="00A8238C" w:rsidRPr="00E06BBA" w:rsidRDefault="009E70E1" w:rsidP="00301D81">
      <w:pPr>
        <w:rPr>
          <w:lang w:val="fr-FR"/>
        </w:rPr>
      </w:pPr>
      <w:r w:rsidRPr="00E06BBA">
        <w:rPr>
          <w:lang w:val="fr"/>
        </w:rPr>
        <w:t xml:space="preserve">Cinq pays ont préféré utiliser Microsoft Excel pour soumettre leurs données au lieu d'utiliser l'outil en ligne du fait d'une connectivité internet limitée. La connectivité s'améliore dans le Pacifique, ce qui contribuera à renforcer la facilité d'utilisation de cet outil. </w:t>
      </w:r>
    </w:p>
    <w:p w:rsidR="009841DF" w:rsidRPr="00E06BBA" w:rsidRDefault="002D2D4E" w:rsidP="00301D81">
      <w:pPr>
        <w:rPr>
          <w:lang w:val="fr-FR"/>
        </w:rPr>
      </w:pPr>
      <w:r w:rsidRPr="00E06BBA">
        <w:rPr>
          <w:lang w:val="fr"/>
        </w:rPr>
        <w:t xml:space="preserve">La disponibilité des données varie selon les pays. Le cas échéant, les estimations fournies ont été obtenues à partir de sources multiples, selon chaque indicateur et les données disponibles. Les données sont relativement similaires dans l'ensemble de la région et généralement élevées, avec 71 % des </w:t>
      </w:r>
      <w:r w:rsidR="00042318" w:rsidRPr="00E06BBA">
        <w:rPr>
          <w:lang w:val="fr"/>
        </w:rPr>
        <w:t>États et Territoires insulaires du Pacifique</w:t>
      </w:r>
      <w:r w:rsidRPr="00E06BBA">
        <w:rPr>
          <w:lang w:val="fr"/>
        </w:rPr>
        <w:t xml:space="preserve"> qui disposent d'estimations nationales pour les indicateurs (en moyenne). Toutefois, les données présentées dans ce rapport devraient être considérées comme un aperçu, et occasionnellement comme une tâche qui se construit chaque jour, à laquelle il faudra apporter des améliorations dans le cadre des efforts pour renforcer les systèmes d'information sanitaire.  </w:t>
      </w:r>
    </w:p>
    <w:p w:rsidR="00CF19EE" w:rsidRPr="00E06BBA" w:rsidRDefault="00CF19EE" w:rsidP="00301D81">
      <w:pPr>
        <w:rPr>
          <w:lang w:val="fr-FR"/>
        </w:rPr>
      </w:pPr>
      <w:r w:rsidRPr="00E06BBA">
        <w:rPr>
          <w:lang w:val="fr"/>
        </w:rPr>
        <w:t>L'appropriation nationale const</w:t>
      </w:r>
      <w:r w:rsidR="00E06BBA">
        <w:rPr>
          <w:lang w:val="fr"/>
        </w:rPr>
        <w:t>itue la clé de voûte de la mise en </w:t>
      </w:r>
      <w:r w:rsidR="00E56D8D" w:rsidRPr="00E06BBA">
        <w:rPr>
          <w:lang w:val="fr"/>
        </w:rPr>
        <w:t>œuvre</w:t>
      </w:r>
      <w:r w:rsidR="00E06BBA">
        <w:rPr>
          <w:lang w:val="fr"/>
        </w:rPr>
        <w:t xml:space="preserve"> du Cadre de suivi des îles</w:t>
      </w:r>
      <w:r w:rsidR="00E06BBA">
        <w:rPr>
          <w:lang w:val="fr"/>
        </w:rPr>
        <w:noBreakHyphen/>
      </w:r>
      <w:r w:rsidRPr="00E06BBA">
        <w:rPr>
          <w:lang w:val="fr"/>
        </w:rPr>
        <w:t>santé. C'est la raison pour laquelle il devrait toujours s'appuyer sur les sources de données nationales officielles, à l'exception des cas où les données mondiales s'avéreraient nécessaires pour combler les lacunes ou pour valider des résultats. Le processus de suivi a mis en lumière de larges différences entre les données nationales communiquées et les données mondiales diffusées, et a démontré combien les différences entre les deux peut fausser les comparaisons statistiques.</w:t>
      </w:r>
    </w:p>
    <w:p w:rsidR="002D5932" w:rsidRPr="00C6129D" w:rsidRDefault="00E858B4" w:rsidP="007A5512">
      <w:pPr>
        <w:pStyle w:val="Heading2"/>
        <w:rPr>
          <w:lang w:val="fr-FR"/>
        </w:rPr>
      </w:pPr>
      <w:r w:rsidRPr="00C6129D">
        <w:rPr>
          <w:lang w:val="fr"/>
        </w:rPr>
        <w:t>3.3 Comparabilité des données, qualité et analyse</w:t>
      </w:r>
    </w:p>
    <w:p w:rsidR="00F73369" w:rsidRPr="00C6129D" w:rsidRDefault="00F73369" w:rsidP="00301D81">
      <w:pPr>
        <w:rPr>
          <w:lang w:val="fr-FR"/>
        </w:rPr>
      </w:pPr>
      <w:r w:rsidRPr="00C6129D">
        <w:rPr>
          <w:lang w:val="fr"/>
        </w:rPr>
        <w:t>Alors que tout a été fait pour optimiser la comparabilité des statistiques dans la région Pacifique, il peut y avoir des différences de données selon les définitions spécifiques aux pays, les méthodes de collecte des données, la couverture de la population et les méthodes d'estimation.</w:t>
      </w:r>
      <w:r w:rsidRPr="00C6129D">
        <w:rPr>
          <w:vertAlign w:val="superscript"/>
          <w:lang w:val="fr"/>
        </w:rPr>
        <w:footnoteReference w:id="5"/>
      </w:r>
      <w:r w:rsidRPr="00C6129D">
        <w:rPr>
          <w:lang w:val="fr"/>
        </w:rPr>
        <w:t xml:space="preserve"> De plus, on ne peut </w:t>
      </w:r>
      <w:r w:rsidRPr="00C6129D">
        <w:rPr>
          <w:lang w:val="fr"/>
        </w:rPr>
        <w:lastRenderedPageBreak/>
        <w:t xml:space="preserve">pas présumer que les modifications des valeurs des indicateurs dans le premier rapport d'étape </w:t>
      </w:r>
      <w:r w:rsidR="003E1AA7" w:rsidRPr="00C6129D">
        <w:rPr>
          <w:lang w:val="fr"/>
        </w:rPr>
        <w:t>reflètent</w:t>
      </w:r>
      <w:r w:rsidRPr="00C6129D">
        <w:rPr>
          <w:lang w:val="fr"/>
        </w:rPr>
        <w:t xml:space="preserve"> avec précision les tendances sous-jacentes. </w:t>
      </w:r>
    </w:p>
    <w:p w:rsidR="002D5932" w:rsidRPr="00C6129D" w:rsidRDefault="00F73369" w:rsidP="00301D81">
      <w:pPr>
        <w:rPr>
          <w:lang w:val="fr-FR"/>
        </w:rPr>
      </w:pPr>
      <w:r w:rsidRPr="00C6129D">
        <w:rPr>
          <w:lang w:val="fr"/>
        </w:rPr>
        <w:t>Du fait du manque de données comparables, il n'est pas possible pour l'heure de comparer les indicateurs dans le temps et entre les pays. Tant que les enjeux que posent les lacunes et la comparabilité ne sont pas résolus, les indicateurs ne peuvent être évalués qu'en étudiant un éventail moins large d'indicateurs comparables au sein des pays ou entre des zones et pays sélectionnés. Une prise de conscience accrue de la nécessité de mener un examen continu des sources de données, de la disponibilité des données et des lacunes à l'échelon national peut permettre de renforcer et de façonner de manière stratégique le système d'information sanitaire de chaque pays.</w:t>
      </w:r>
    </w:p>
    <w:p w:rsidR="003F0C4F" w:rsidRPr="000E1250" w:rsidRDefault="00D941FF" w:rsidP="00301D81">
      <w:pPr>
        <w:rPr>
          <w:lang w:val="fr-FR"/>
        </w:rPr>
      </w:pPr>
      <w:r w:rsidRPr="000E1250">
        <w:rPr>
          <w:lang w:val="fr"/>
        </w:rPr>
        <w:t xml:space="preserve">Les problèmes rencontrés avec la qualité des données tels que les erreurs de données, les informations manquantes et les incohérences ont été observés lors de l'élaboration de ce rapport. </w:t>
      </w:r>
      <w:r w:rsidR="00607947" w:rsidRPr="000E1250">
        <w:rPr>
          <w:rFonts w:cs="Times New Roman"/>
          <w:lang w:val="fr"/>
        </w:rPr>
        <w:t>À</w:t>
      </w:r>
      <w:r w:rsidRPr="000E1250">
        <w:rPr>
          <w:lang w:val="fr"/>
        </w:rPr>
        <w:t xml:space="preserve"> l'heure où le secrétariat partageait les metadonnées pour familiariser les gouvernements avec les définitions des indicateurs, une assurance qualité s</w:t>
      </w:r>
      <w:r w:rsidR="00E74C0C" w:rsidRPr="000E1250">
        <w:rPr>
          <w:lang w:val="fr"/>
        </w:rPr>
        <w:t>o</w:t>
      </w:r>
      <w:r w:rsidRPr="000E1250">
        <w:rPr>
          <w:lang w:val="fr"/>
        </w:rPr>
        <w:t>lide des données compilées ne faisait pas partie du cadre du présent rapport. Le secrétariat s'efforce d'identifier les valeurs manquantes, les entrées non valides ou incohérentes et les erreurs potentielles durant le processus de collecte de données et de validation. En dépit de ce constat, les modalités de vérification de la qualité des données doivent toutefois être renforcées aux niveaux national et régional comme faisant partie intégrante de l'établissement de rapports. La qualité des indicateurs doit être examinée après chaque rapport et faire l'objet d'une révision en réponse aux problèmes techniques qui ont émergé ainsi qu'à de nouveaux développements intervenus au niveau des programmes. En conséquence, l'établissement de rapports devrait continuer à contribuer à l'amélioration en termes d'exhaustivité et de qualité. Idéalement, les zones et les pays devraient examiner et valider leurs données figurant dans le rapport avant la reunion des directeurs de la santé des pays océaniens.</w:t>
      </w:r>
    </w:p>
    <w:p w:rsidR="003F0C4F" w:rsidRPr="00EF25FF" w:rsidRDefault="003F0C4F" w:rsidP="00301D81">
      <w:pPr>
        <w:rPr>
          <w:lang w:val="fr-FR"/>
        </w:rPr>
      </w:pPr>
      <w:r w:rsidRPr="000E1250">
        <w:rPr>
          <w:lang w:val="fr"/>
        </w:rPr>
        <w:t xml:space="preserve">Comme indiqué, le cadre régional ne </w:t>
      </w:r>
      <w:r w:rsidR="00AF2EE4" w:rsidRPr="000E1250">
        <w:rPr>
          <w:lang w:val="fr"/>
        </w:rPr>
        <w:t>devrait</w:t>
      </w:r>
      <w:r w:rsidRPr="000E1250">
        <w:rPr>
          <w:lang w:val="fr"/>
        </w:rPr>
        <w:t xml:space="preserve"> s'appuyer que sur des sources de données nationales officielles, mais cette exigence présente des enjeux qui lui sont propres (par exemple, un manque de données complètes et comparables). En outre, si les rapports sont établis sur une base biennale, les mêmes données seront vraisemblablement communiquées deux fois parce que les données collectées par le biais d'études nationales auraient peu de chances d'être collectées de manière fréquente. Une solution serait de se pencher sur d'autres sources de données, par exemple les registres des établissements de santé et des services administratifs. La collecte continue de </w:t>
      </w:r>
      <w:r w:rsidR="00AF2EE4" w:rsidRPr="000E1250">
        <w:rPr>
          <w:lang w:val="fr"/>
        </w:rPr>
        <w:t>d</w:t>
      </w:r>
      <w:r w:rsidRPr="000E1250">
        <w:rPr>
          <w:lang w:val="fr"/>
        </w:rPr>
        <w:t>onnées permettraient aux examinateurs d'identifier les modifications majeures, de détecter les véritables tendances pendant une période de compte rendu donnée, d'identifier les inégalités en matière de santé et les avancées sur la question de la CSU.</w:t>
      </w:r>
      <w:r>
        <w:rPr>
          <w:lang w:val="fr"/>
        </w:rPr>
        <w:t xml:space="preserve"> </w:t>
      </w:r>
    </w:p>
    <w:p w:rsidR="00CA0B89" w:rsidRPr="00EF25FF" w:rsidRDefault="00CA0B89" w:rsidP="007A5512">
      <w:pPr>
        <w:pStyle w:val="Heading1"/>
        <w:rPr>
          <w:lang w:val="fr-FR"/>
        </w:rPr>
      </w:pPr>
      <w:r>
        <w:rPr>
          <w:lang w:val="fr"/>
        </w:rPr>
        <w:lastRenderedPageBreak/>
        <w:t>4.  ORIENTATIONS FUTURES</w:t>
      </w:r>
    </w:p>
    <w:p w:rsidR="00AB4D47" w:rsidRPr="00EF25FF" w:rsidRDefault="00AB4D47" w:rsidP="007A5512">
      <w:pPr>
        <w:pStyle w:val="Heading2"/>
        <w:rPr>
          <w:lang w:val="fr-FR"/>
        </w:rPr>
      </w:pPr>
      <w:r>
        <w:rPr>
          <w:lang w:val="fr"/>
        </w:rPr>
        <w:t>4.1 Recommandations à l'intention des pouvoirs publics</w:t>
      </w:r>
    </w:p>
    <w:p w:rsidR="00F2086C" w:rsidRPr="00EF25FF" w:rsidRDefault="00F8024F" w:rsidP="00F2086C">
      <w:pPr>
        <w:rPr>
          <w:lang w:val="fr-FR"/>
        </w:rPr>
      </w:pPr>
      <w:r>
        <w:rPr>
          <w:lang w:val="fr"/>
        </w:rPr>
        <w:t xml:space="preserve">Les ministres de la santé </w:t>
      </w:r>
      <w:r w:rsidR="005B2093">
        <w:rPr>
          <w:lang w:val="fr-FR"/>
        </w:rPr>
        <w:t>sont invités à :</w:t>
      </w:r>
    </w:p>
    <w:p w:rsidR="00F2086C" w:rsidRPr="00A73A74" w:rsidRDefault="00F8024F" w:rsidP="00757A5F">
      <w:pPr>
        <w:numPr>
          <w:ilvl w:val="0"/>
          <w:numId w:val="36"/>
        </w:numPr>
        <w:contextualSpacing/>
        <w:rPr>
          <w:lang w:val="fr-FR"/>
        </w:rPr>
      </w:pPr>
      <w:r w:rsidRPr="00A73A74">
        <w:rPr>
          <w:lang w:val="fr"/>
        </w:rPr>
        <w:t>valider le deuxième rapport d'étape ;</w:t>
      </w:r>
    </w:p>
    <w:p w:rsidR="00F2086C" w:rsidRPr="00A73A74" w:rsidRDefault="00F8024F" w:rsidP="00757A5F">
      <w:pPr>
        <w:numPr>
          <w:ilvl w:val="0"/>
          <w:numId w:val="36"/>
        </w:numPr>
        <w:contextualSpacing/>
        <w:rPr>
          <w:lang w:val="fr-FR"/>
        </w:rPr>
      </w:pPr>
      <w:r w:rsidRPr="00A73A74">
        <w:rPr>
          <w:lang w:val="fr"/>
        </w:rPr>
        <w:t xml:space="preserve">valider les modifications proposées au Cadre de suivi des îles-santé, à savoir : </w:t>
      </w:r>
    </w:p>
    <w:p w:rsidR="007A5512" w:rsidRPr="00A73A74" w:rsidRDefault="00F2086C" w:rsidP="00757A5F">
      <w:pPr>
        <w:numPr>
          <w:ilvl w:val="2"/>
          <w:numId w:val="41"/>
        </w:numPr>
        <w:contextualSpacing/>
        <w:rPr>
          <w:lang w:val="fr-FR"/>
        </w:rPr>
      </w:pPr>
      <w:r w:rsidRPr="00A73A74">
        <w:rPr>
          <w:lang w:val="fr"/>
        </w:rPr>
        <w:t>remplacer l'indicateur « </w:t>
      </w:r>
      <w:r w:rsidR="00AF2EE4" w:rsidRPr="00A73A74">
        <w:rPr>
          <w:lang w:val="fr"/>
        </w:rPr>
        <w:t>T</w:t>
      </w:r>
      <w:r w:rsidRPr="00A73A74">
        <w:rPr>
          <w:lang w:val="fr"/>
        </w:rPr>
        <w:t xml:space="preserve">aux de prévalence des </w:t>
      </w:r>
      <w:r w:rsidR="00AF2EE4" w:rsidRPr="00A73A74">
        <w:rPr>
          <w:lang w:val="fr"/>
        </w:rPr>
        <w:t xml:space="preserve">moyens de contraception </w:t>
      </w:r>
      <w:r w:rsidRPr="00A73A74">
        <w:rPr>
          <w:lang w:val="fr"/>
        </w:rPr>
        <w:t>» par « Exigence satisfaite » (en accord avec ODD 3.7.1), qui est une mesure plus juste de la véritable couverture ;</w:t>
      </w:r>
    </w:p>
    <w:p w:rsidR="00F2086C" w:rsidRPr="00A73A74" w:rsidRDefault="00F2086C" w:rsidP="00757A5F">
      <w:pPr>
        <w:numPr>
          <w:ilvl w:val="2"/>
          <w:numId w:val="41"/>
        </w:numPr>
        <w:contextualSpacing/>
        <w:rPr>
          <w:lang w:val="fr-FR"/>
        </w:rPr>
      </w:pPr>
      <w:r w:rsidRPr="00A73A74">
        <w:rPr>
          <w:lang w:val="fr"/>
        </w:rPr>
        <w:t xml:space="preserve">modifier l'indicateur pour le nombre d'épidémies de maladies vectorielles afin de permettre la communication en ayant recours à des données de surveillance existantes comparables, et charger </w:t>
      </w:r>
      <w:r w:rsidR="005B1460" w:rsidRPr="00A73A74">
        <w:rPr>
          <w:lang w:val="fr"/>
        </w:rPr>
        <w:t xml:space="preserve">le </w:t>
      </w:r>
      <w:r w:rsidRPr="00A73A74">
        <w:rPr>
          <w:lang w:val="fr"/>
        </w:rPr>
        <w:t>Réseau océanien de surveillance de la santé publique (ROSSP) de fournir la définition technique ainsi que la méthode de calcul pour mesurer l'indicateur ;</w:t>
      </w:r>
    </w:p>
    <w:p w:rsidR="00F2086C" w:rsidRPr="00A73A74" w:rsidRDefault="00BA7447" w:rsidP="00757A5F">
      <w:pPr>
        <w:numPr>
          <w:ilvl w:val="2"/>
          <w:numId w:val="41"/>
        </w:numPr>
        <w:contextualSpacing/>
        <w:rPr>
          <w:lang w:val="fr-FR"/>
        </w:rPr>
      </w:pPr>
      <w:r w:rsidRPr="00A73A74">
        <w:rPr>
          <w:lang w:val="fr"/>
        </w:rPr>
        <w:t>intégrer l'indicateur des ODD 17.19.2(b)-nombre de pays avec 100 % d'enregistrement des naissances et 80 % des enregistrements des décès-aux indicateurs 1.5 et 3.5 sur les enregistrements de naissances et de décès pour renforcer le lien entre le Cadre de suivi des îles-santé et les ODD ;</w:t>
      </w:r>
    </w:p>
    <w:p w:rsidR="00F2086C" w:rsidRPr="00A73A74" w:rsidRDefault="00BA7447" w:rsidP="00757A5F">
      <w:pPr>
        <w:numPr>
          <w:ilvl w:val="0"/>
          <w:numId w:val="36"/>
        </w:numPr>
        <w:contextualSpacing/>
        <w:rPr>
          <w:lang w:val="fr-FR"/>
        </w:rPr>
      </w:pPr>
      <w:r w:rsidRPr="00A73A74">
        <w:rPr>
          <w:lang w:val="fr"/>
        </w:rPr>
        <w:t xml:space="preserve">suivre la mise en </w:t>
      </w:r>
      <w:r w:rsidR="00E56D8D" w:rsidRPr="00A73A74">
        <w:rPr>
          <w:lang w:val="fr"/>
        </w:rPr>
        <w:t>œuvre</w:t>
      </w:r>
      <w:r w:rsidRPr="00A73A74">
        <w:rPr>
          <w:lang w:val="fr"/>
        </w:rPr>
        <w:t xml:space="preserve"> du cadre et faire part de l'avancée du rapport à la réunion des ministres de la santé des pays océaniens en 2021 avec les amendements, s'il y a lieu ;</w:t>
      </w:r>
    </w:p>
    <w:p w:rsidR="00F2086C" w:rsidRPr="00A73A74" w:rsidRDefault="00BA7447" w:rsidP="00757A5F">
      <w:pPr>
        <w:numPr>
          <w:ilvl w:val="0"/>
          <w:numId w:val="36"/>
        </w:numPr>
        <w:contextualSpacing/>
        <w:rPr>
          <w:lang w:val="fr-FR"/>
        </w:rPr>
      </w:pPr>
      <w:r w:rsidRPr="00A73A74">
        <w:rPr>
          <w:lang w:val="fr"/>
        </w:rPr>
        <w:t>prendre activement part à la validation et à la communication d'indicateurs tous les deux ans (avant les réunions des directeurs de la santé et des ministres de la santé), et introduire des audits réguliers sur la qualité intégrés au processus de communication des données ; et</w:t>
      </w:r>
    </w:p>
    <w:p w:rsidR="00B85847" w:rsidRPr="00A73A74" w:rsidRDefault="00BA7447" w:rsidP="00757A5F">
      <w:pPr>
        <w:numPr>
          <w:ilvl w:val="0"/>
          <w:numId w:val="36"/>
        </w:numPr>
        <w:contextualSpacing/>
        <w:rPr>
          <w:lang w:val="fr-FR"/>
        </w:rPr>
      </w:pPr>
      <w:r w:rsidRPr="00A73A74">
        <w:rPr>
          <w:lang w:val="fr"/>
        </w:rPr>
        <w:t>améliorer sans cesse les systèmes d'information sanitaire nationaux ainsi que le système d'enregistrement des faits et de statistiques d'état civil (CRVS), et renforcer une analyse des informations de santé axée sur l'équité.</w:t>
      </w:r>
    </w:p>
    <w:p w:rsidR="00B85847" w:rsidRPr="00EF25FF" w:rsidRDefault="007A5512" w:rsidP="007A5512">
      <w:pPr>
        <w:pStyle w:val="Heading2"/>
        <w:rPr>
          <w:lang w:val="fr-FR"/>
        </w:rPr>
      </w:pPr>
      <w:r>
        <w:rPr>
          <w:lang w:val="fr"/>
        </w:rPr>
        <w:t>4.2 Recommandations à l'intention des partenaires de développement</w:t>
      </w:r>
    </w:p>
    <w:p w:rsidR="00F2086C" w:rsidRPr="00EF25FF" w:rsidRDefault="00901394" w:rsidP="00F2086C">
      <w:pPr>
        <w:rPr>
          <w:lang w:val="fr-FR"/>
        </w:rPr>
      </w:pPr>
      <w:r>
        <w:rPr>
          <w:lang w:val="fr"/>
        </w:rPr>
        <w:t>Les partenaires de développement sont invités à :</w:t>
      </w:r>
    </w:p>
    <w:p w:rsidR="00F2086C" w:rsidRPr="00A73A74" w:rsidRDefault="00901394" w:rsidP="00757A5F">
      <w:pPr>
        <w:pStyle w:val="ListParagraph"/>
        <w:numPr>
          <w:ilvl w:val="0"/>
          <w:numId w:val="44"/>
        </w:numPr>
        <w:rPr>
          <w:lang w:val="fr-FR"/>
        </w:rPr>
      </w:pPr>
      <w:r w:rsidRPr="00A73A74">
        <w:rPr>
          <w:lang w:val="fr"/>
        </w:rPr>
        <w:t xml:space="preserve">continuer à soutenir les </w:t>
      </w:r>
      <w:r w:rsidR="00042318" w:rsidRPr="00A73A74">
        <w:rPr>
          <w:lang w:val="fr"/>
        </w:rPr>
        <w:t>États et Territoires insulaires du Pacifique</w:t>
      </w:r>
      <w:r w:rsidRPr="00A73A74">
        <w:rPr>
          <w:lang w:val="fr"/>
        </w:rPr>
        <w:t xml:space="preserve"> pour renforcer les système</w:t>
      </w:r>
      <w:r w:rsidR="008971FE">
        <w:rPr>
          <w:lang w:val="fr"/>
        </w:rPr>
        <w:t>s</w:t>
      </w:r>
      <w:r w:rsidRPr="00A73A74">
        <w:rPr>
          <w:lang w:val="fr"/>
        </w:rPr>
        <w:t xml:space="preserve"> d'information sanitaire nationaux afin de leur permettre de produire durablement des données nationales ;</w:t>
      </w:r>
    </w:p>
    <w:p w:rsidR="00F2086C" w:rsidRPr="00A73A74" w:rsidRDefault="00901394" w:rsidP="00757A5F">
      <w:pPr>
        <w:pStyle w:val="ListParagraph"/>
        <w:numPr>
          <w:ilvl w:val="0"/>
          <w:numId w:val="44"/>
        </w:numPr>
        <w:rPr>
          <w:lang w:val="fr-FR"/>
        </w:rPr>
      </w:pPr>
      <w:r w:rsidRPr="00A73A74">
        <w:rPr>
          <w:lang w:val="fr"/>
        </w:rPr>
        <w:t>renforcer les capacités institutionnelles à l'échelon national pour collecter et utiliser des données à tous les niveaux du système sanitaire ; et</w:t>
      </w:r>
    </w:p>
    <w:p w:rsidR="00F2086C" w:rsidRPr="00242559" w:rsidRDefault="00901394" w:rsidP="00757A5F">
      <w:pPr>
        <w:pStyle w:val="ListParagraph"/>
        <w:numPr>
          <w:ilvl w:val="0"/>
          <w:numId w:val="44"/>
        </w:numPr>
        <w:rPr>
          <w:lang w:val="fr-FR"/>
        </w:rPr>
      </w:pPr>
      <w:r w:rsidRPr="00242559">
        <w:rPr>
          <w:lang w:val="fr"/>
        </w:rPr>
        <w:lastRenderedPageBreak/>
        <w:t>soutenir</w:t>
      </w:r>
      <w:r w:rsidRPr="00A73A74">
        <w:rPr>
          <w:lang w:val="fr"/>
        </w:rPr>
        <w:t xml:space="preserve"> les organisations régionales, telles que le Groupe d'entente de Brisbane (BAG), le Réseau océanien d'information sanitaire (PHIN) et </w:t>
      </w:r>
      <w:r w:rsidR="000567EB" w:rsidRPr="00A73A74">
        <w:rPr>
          <w:lang w:val="fr"/>
        </w:rPr>
        <w:t xml:space="preserve">le </w:t>
      </w:r>
      <w:r w:rsidRPr="00A73A74">
        <w:rPr>
          <w:lang w:val="fr"/>
        </w:rPr>
        <w:t>ROSSP, pour renforcer la coopération régionale entre les zones et les pays en vue d'améliorer la santé numérique et les systèmes d'information sanitaire et CRVS dans l'ensemble du Pacifiqu</w:t>
      </w:r>
      <w:r w:rsidRPr="00242559">
        <w:rPr>
          <w:lang w:val="fr"/>
        </w:rPr>
        <w:t>e.</w:t>
      </w:r>
    </w:p>
    <w:p w:rsidR="003F0C4F" w:rsidRPr="00EF25FF" w:rsidRDefault="003F0C4F" w:rsidP="003766DF">
      <w:pPr>
        <w:pStyle w:val="ListParagraph"/>
        <w:rPr>
          <w:lang w:val="fr-FR"/>
        </w:rPr>
        <w:sectPr w:rsidR="003F0C4F" w:rsidRPr="00EF25FF" w:rsidSect="00244210">
          <w:headerReference w:type="even" r:id="rId11"/>
          <w:headerReference w:type="default" r:id="rId12"/>
          <w:headerReference w:type="first" r:id="rId13"/>
          <w:footerReference w:type="first" r:id="rId14"/>
          <w:pgSz w:w="11907" w:h="16839" w:code="9"/>
          <w:pgMar w:top="720" w:right="1440" w:bottom="1440" w:left="1440" w:header="720" w:footer="720" w:gutter="0"/>
          <w:cols w:space="720"/>
          <w:titlePg/>
          <w:docGrid w:linePitch="360"/>
        </w:sectPr>
      </w:pPr>
    </w:p>
    <w:p w:rsidR="003F0C4F" w:rsidRPr="00A73A74" w:rsidRDefault="00787FFC" w:rsidP="009E7658">
      <w:pPr>
        <w:rPr>
          <w:b/>
          <w:bCs/>
          <w:lang w:val="fr-FR"/>
        </w:rPr>
      </w:pPr>
      <w:r w:rsidRPr="00A73A74">
        <w:rPr>
          <w:b/>
          <w:bCs/>
          <w:lang w:val="fr"/>
        </w:rPr>
        <w:lastRenderedPageBreak/>
        <w:t>Annexe 2.</w:t>
      </w:r>
      <w:r w:rsidRPr="00A73A74">
        <w:rPr>
          <w:lang w:val="fr"/>
        </w:rPr>
        <w:t xml:space="preserve"> </w:t>
      </w:r>
      <w:r w:rsidRPr="00A73A74">
        <w:rPr>
          <w:b/>
          <w:bCs/>
          <w:lang w:val="fr"/>
        </w:rPr>
        <w:t>Prop</w:t>
      </w:r>
      <w:bookmarkStart w:id="4" w:name="_GoBack"/>
      <w:bookmarkEnd w:id="4"/>
      <w:r w:rsidRPr="00A73A74">
        <w:rPr>
          <w:b/>
          <w:bCs/>
          <w:lang w:val="fr"/>
        </w:rPr>
        <w:t xml:space="preserve">ositions de modifications </w:t>
      </w:r>
      <w:r w:rsidR="00384391" w:rsidRPr="00A73A74">
        <w:rPr>
          <w:b/>
          <w:bCs/>
          <w:lang w:val="fr"/>
        </w:rPr>
        <w:t>des</w:t>
      </w:r>
      <w:r w:rsidRPr="00A73A74">
        <w:rPr>
          <w:b/>
          <w:bCs/>
          <w:lang w:val="fr"/>
        </w:rPr>
        <w:t xml:space="preserve"> indicateurs du Cadre de suivi des îles-santé</w:t>
      </w:r>
      <w:r w:rsidRPr="00A73A74">
        <w:rPr>
          <w:lang w:val="fr"/>
        </w:rPr>
        <w:t xml:space="preserve"> </w:t>
      </w:r>
    </w:p>
    <w:tbl>
      <w:tblPr>
        <w:tblStyle w:val="TableGrid1"/>
        <w:tblpPr w:leftFromText="180" w:rightFromText="180" w:vertAnchor="page" w:horzAnchor="margin" w:tblpXSpec="center" w:tblpY="2379"/>
        <w:tblW w:w="15138" w:type="dxa"/>
        <w:tblLayout w:type="fixed"/>
        <w:tblLook w:val="04A0" w:firstRow="1" w:lastRow="0" w:firstColumn="1" w:lastColumn="0" w:noHBand="0" w:noVBand="1"/>
      </w:tblPr>
      <w:tblGrid>
        <w:gridCol w:w="4338"/>
        <w:gridCol w:w="4500"/>
        <w:gridCol w:w="6300"/>
      </w:tblGrid>
      <w:tr w:rsidR="00B00844" w:rsidRPr="00A73A74" w:rsidTr="00EE3EFF">
        <w:tc>
          <w:tcPr>
            <w:tcW w:w="4338" w:type="dxa"/>
            <w:shd w:val="clear" w:color="auto" w:fill="00B0F0"/>
          </w:tcPr>
          <w:p w:rsidR="00B00844" w:rsidRPr="00A73A74" w:rsidRDefault="00B00844" w:rsidP="00757A5F">
            <w:pPr>
              <w:spacing w:before="120" w:after="120" w:line="240" w:lineRule="auto"/>
              <w:rPr>
                <w:rFonts w:asciiTheme="minorHAnsi" w:eastAsiaTheme="minorEastAsia" w:hAnsiTheme="minorHAnsi" w:cstheme="minorBidi"/>
              </w:rPr>
            </w:pPr>
            <w:r w:rsidRPr="00A73A74">
              <w:rPr>
                <w:rFonts w:asciiTheme="minorHAnsi" w:eastAsiaTheme="minorEastAsia" w:hAnsiTheme="minorHAnsi" w:cstheme="minorBidi"/>
                <w:lang w:val="fr"/>
              </w:rPr>
              <w:t>Indicateur</w:t>
            </w:r>
          </w:p>
        </w:tc>
        <w:tc>
          <w:tcPr>
            <w:tcW w:w="4500" w:type="dxa"/>
            <w:shd w:val="clear" w:color="auto" w:fill="00B0F0"/>
          </w:tcPr>
          <w:p w:rsidR="00B00844" w:rsidRPr="00A73A74" w:rsidRDefault="00B00844" w:rsidP="00757A5F">
            <w:pPr>
              <w:spacing w:before="120" w:after="120" w:line="240" w:lineRule="auto"/>
              <w:rPr>
                <w:rFonts w:asciiTheme="minorHAnsi" w:eastAsiaTheme="minorEastAsia" w:hAnsiTheme="minorHAnsi" w:cstheme="minorBidi"/>
              </w:rPr>
            </w:pPr>
            <w:r w:rsidRPr="00A73A74">
              <w:rPr>
                <w:rFonts w:asciiTheme="minorHAnsi" w:eastAsiaTheme="minorEastAsia" w:hAnsiTheme="minorHAnsi" w:cstheme="minorBidi"/>
                <w:lang w:val="fr"/>
              </w:rPr>
              <w:t>Problème détecté</w:t>
            </w:r>
          </w:p>
        </w:tc>
        <w:tc>
          <w:tcPr>
            <w:tcW w:w="6300" w:type="dxa"/>
            <w:shd w:val="clear" w:color="auto" w:fill="00B0F0"/>
          </w:tcPr>
          <w:p w:rsidR="00B00844" w:rsidRPr="00A73A74" w:rsidRDefault="00B00844" w:rsidP="00757A5F">
            <w:pPr>
              <w:spacing w:before="120" w:after="120" w:line="240" w:lineRule="auto"/>
              <w:ind w:right="1962"/>
              <w:rPr>
                <w:rFonts w:asciiTheme="minorHAnsi" w:eastAsiaTheme="minorEastAsia" w:hAnsiTheme="minorHAnsi" w:cstheme="minorBidi"/>
              </w:rPr>
            </w:pPr>
            <w:r w:rsidRPr="00A73A74">
              <w:rPr>
                <w:rFonts w:asciiTheme="minorHAnsi" w:eastAsiaTheme="minorEastAsia" w:hAnsiTheme="minorHAnsi" w:cstheme="minorBidi"/>
                <w:lang w:val="fr"/>
              </w:rPr>
              <w:t>Recommandation</w:t>
            </w:r>
          </w:p>
        </w:tc>
      </w:tr>
      <w:tr w:rsidR="00B00844" w:rsidRPr="003A3879" w:rsidTr="00757A5F">
        <w:tc>
          <w:tcPr>
            <w:tcW w:w="4338" w:type="dxa"/>
            <w:tcBorders>
              <w:bottom w:val="dotted" w:sz="4" w:space="0" w:color="auto"/>
            </w:tcBorders>
            <w:shd w:val="clear" w:color="auto" w:fill="DBE5F1" w:themeFill="accent1" w:themeFillTint="33"/>
          </w:tcPr>
          <w:p w:rsidR="00B00844" w:rsidRPr="00A73A74" w:rsidRDefault="00B0084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2.12 Prévalence des méthodes de contraception</w:t>
            </w:r>
          </w:p>
          <w:p w:rsidR="00834EEE" w:rsidRPr="00A73A74" w:rsidRDefault="00834EEE" w:rsidP="00757A5F">
            <w:pPr>
              <w:spacing w:before="0" w:after="0" w:line="240" w:lineRule="auto"/>
              <w:rPr>
                <w:rFonts w:asciiTheme="minorHAnsi" w:eastAsiaTheme="minorEastAsia" w:hAnsiTheme="minorHAnsi" w:cstheme="minorBidi"/>
                <w:lang w:val="fr-FR"/>
              </w:rPr>
            </w:pPr>
          </w:p>
          <w:p w:rsidR="00834EEE" w:rsidRPr="00A73A74" w:rsidRDefault="00834EEE" w:rsidP="003F18D4">
            <w:pPr>
              <w:spacing w:before="0" w:after="0" w:line="240" w:lineRule="auto"/>
              <w:rPr>
                <w:rFonts w:asciiTheme="minorHAnsi" w:eastAsiaTheme="minorEastAsia" w:hAnsiTheme="minorHAnsi" w:cstheme="minorBidi"/>
                <w:lang w:val="fr-FR"/>
              </w:rPr>
            </w:pPr>
          </w:p>
          <w:p w:rsidR="00B00844" w:rsidRPr="00A73A74" w:rsidRDefault="00B00844" w:rsidP="006670A7">
            <w:pPr>
              <w:spacing w:before="0" w:after="0" w:line="240" w:lineRule="auto"/>
              <w:rPr>
                <w:rFonts w:asciiTheme="minorHAnsi" w:eastAsiaTheme="minorEastAsia" w:hAnsiTheme="minorHAnsi" w:cstheme="minorBidi"/>
                <w:lang w:val="fr-FR"/>
              </w:rPr>
            </w:pPr>
            <w:r w:rsidRPr="00A73A74">
              <w:rPr>
                <w:rFonts w:asciiTheme="minorHAnsi" w:hAnsiTheme="minorHAnsi"/>
                <w:i/>
                <w:iCs/>
                <w:lang w:val="fr"/>
              </w:rPr>
              <w:t>Définition </w:t>
            </w:r>
            <w:r w:rsidRPr="00A73A74">
              <w:rPr>
                <w:rFonts w:asciiTheme="minorHAnsi" w:hAnsiTheme="minorHAnsi"/>
                <w:lang w:val="fr"/>
              </w:rPr>
              <w:t>: Pourcentage de femmes de 15 à 49 ans sexuellement actives, qui utilisent actuellement, ou dont le partenaire sexuel utilise, au moins une méthode de contraception.</w:t>
            </w:r>
          </w:p>
          <w:p w:rsidR="00FB4155" w:rsidRPr="00A73A74" w:rsidRDefault="00FB4155" w:rsidP="006670A7">
            <w:pPr>
              <w:spacing w:before="0" w:after="0" w:line="240" w:lineRule="auto"/>
              <w:rPr>
                <w:rFonts w:asciiTheme="minorHAnsi" w:eastAsiaTheme="minorEastAsia" w:hAnsiTheme="minorHAnsi" w:cstheme="minorBidi"/>
                <w:lang w:val="fr-FR"/>
              </w:rPr>
            </w:pPr>
          </w:p>
          <w:p w:rsidR="000A707F" w:rsidRPr="00A73A74" w:rsidRDefault="00B00844" w:rsidP="003F18D4">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Nombre de femmes en âge de procréer (15-49 ans) qui utilisent ou dont le part</w:t>
            </w:r>
            <w:r w:rsidR="0067236F" w:rsidRPr="00A73A74">
              <w:rPr>
                <w:rFonts w:asciiTheme="minorHAnsi" w:eastAsiaTheme="minorEastAsia" w:hAnsiTheme="minorHAnsi" w:cstheme="minorBidi"/>
                <w:lang w:val="fr"/>
              </w:rPr>
              <w:t>en</w:t>
            </w:r>
            <w:r w:rsidRPr="00A73A74">
              <w:rPr>
                <w:rFonts w:asciiTheme="minorHAnsi" w:eastAsiaTheme="minorEastAsia" w:hAnsiTheme="minorHAnsi" w:cstheme="minorBidi"/>
                <w:lang w:val="fr"/>
              </w:rPr>
              <w:t xml:space="preserve">aire utilise un moyen de contraception/Nombre de femmes en âge de procréer, de 15 à 49 ans, mariées ou en couple qui ont une demande de planification familiale. </w:t>
            </w:r>
          </w:p>
          <w:p w:rsidR="00B00844" w:rsidRPr="00A73A74" w:rsidRDefault="00B00844" w:rsidP="003F18D4">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Les femmes sont considérées avoir une demande de planification familiale si elles souhaitent retarder, espacer ou limiter le nombre de grossesses.</w:t>
            </w:r>
          </w:p>
          <w:p w:rsidR="003F18D4" w:rsidRPr="00A73A74" w:rsidRDefault="003F18D4" w:rsidP="00757A5F">
            <w:pPr>
              <w:spacing w:before="0" w:after="0" w:line="240" w:lineRule="auto"/>
              <w:rPr>
                <w:rFonts w:asciiTheme="minorHAnsi" w:eastAsiaTheme="minorEastAsia" w:hAnsiTheme="minorHAnsi" w:cstheme="minorBidi"/>
                <w:lang w:val="fr-FR"/>
              </w:rPr>
            </w:pPr>
          </w:p>
        </w:tc>
        <w:tc>
          <w:tcPr>
            <w:tcW w:w="4500" w:type="dxa"/>
            <w:tcBorders>
              <w:bottom w:val="dotted" w:sz="4" w:space="0" w:color="auto"/>
            </w:tcBorders>
            <w:shd w:val="clear" w:color="auto" w:fill="DBE5F1" w:themeFill="accent1" w:themeFillTint="33"/>
          </w:tcPr>
          <w:p w:rsidR="00B00844" w:rsidRPr="00A73A74" w:rsidRDefault="007C1E92"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L'indicateur de planification familiale actuel dans le cadre des ODD est « besoins non satisfaits en matière de contraception » (ODD 3.7.1)</w:t>
            </w:r>
          </w:p>
        </w:tc>
        <w:tc>
          <w:tcPr>
            <w:tcW w:w="6300" w:type="dxa"/>
            <w:tcBorders>
              <w:bottom w:val="dotted" w:sz="4" w:space="0" w:color="auto"/>
            </w:tcBorders>
            <w:shd w:val="clear" w:color="auto" w:fill="DBE5F1" w:themeFill="accent1" w:themeFillTint="33"/>
          </w:tcPr>
          <w:p w:rsidR="00B00844" w:rsidRPr="00A73A74" w:rsidRDefault="00B0084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Remplacer « prévalence des méthodes de contraception » par « besoins non satisfaits en matière de contraception » (ODD 3.7.1)</w:t>
            </w:r>
          </w:p>
          <w:p w:rsidR="00834EEE" w:rsidRPr="00A73A74" w:rsidRDefault="00834EEE" w:rsidP="003F18D4">
            <w:pPr>
              <w:spacing w:before="0" w:after="0" w:line="240" w:lineRule="auto"/>
              <w:rPr>
                <w:rFonts w:asciiTheme="minorHAnsi" w:hAnsiTheme="minorHAnsi"/>
                <w:lang w:val="fr-FR"/>
              </w:rPr>
            </w:pPr>
          </w:p>
          <w:p w:rsidR="00B00844" w:rsidRPr="00A73A74" w:rsidRDefault="00834EEE" w:rsidP="00757A5F">
            <w:pPr>
              <w:spacing w:before="0" w:after="0" w:line="240" w:lineRule="auto"/>
              <w:rPr>
                <w:rFonts w:asciiTheme="minorHAnsi" w:hAnsiTheme="minorHAnsi"/>
                <w:lang w:val="fr-FR"/>
              </w:rPr>
            </w:pPr>
            <w:r w:rsidRPr="00A73A74">
              <w:rPr>
                <w:rFonts w:asciiTheme="minorHAnsi" w:hAnsiTheme="minorHAnsi"/>
                <w:lang w:val="fr"/>
              </w:rPr>
              <w:t>Remplacer la définition de l'indicateur actuel par « Pourcentage des femmes en âge de procréer (15-49 ans) mariées ou en couple, dont les besoins de planification familiale sont satisfaits par des méthodes modernes » pour être en accord avec l'indicateur des ODD 3.7.1.</w:t>
            </w:r>
          </w:p>
          <w:p w:rsidR="00834EEE" w:rsidRPr="00A73A74" w:rsidRDefault="00834EEE" w:rsidP="003F18D4">
            <w:pPr>
              <w:spacing w:before="0" w:after="0" w:line="240" w:lineRule="auto"/>
              <w:rPr>
                <w:rFonts w:asciiTheme="minorHAnsi" w:eastAsiaTheme="minorEastAsia" w:hAnsiTheme="minorHAnsi" w:cstheme="minorBidi"/>
                <w:lang w:val="fr-FR"/>
              </w:rPr>
            </w:pPr>
          </w:p>
          <w:p w:rsidR="00B00844" w:rsidRPr="00A73A74" w:rsidRDefault="00B0084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Nombre de femmes de 15 à 49 ans mariées ou en couple qui ont recours à des méthodes modernes/Nombre total de femmes de 15 à 49 ans mariées ou en couple avec un besoin urgent de planification familiale</w:t>
            </w:r>
          </w:p>
          <w:p w:rsidR="00B00844" w:rsidRPr="00A73A74" w:rsidRDefault="00B00844" w:rsidP="00757A5F">
            <w:pPr>
              <w:spacing w:before="0" w:after="0" w:line="240" w:lineRule="auto"/>
              <w:rPr>
                <w:rFonts w:asciiTheme="minorHAnsi" w:eastAsiaTheme="minorEastAsia" w:hAnsiTheme="minorHAnsi" w:cstheme="minorBidi"/>
                <w:lang w:val="fr-FR"/>
              </w:rPr>
            </w:pPr>
          </w:p>
        </w:tc>
      </w:tr>
      <w:tr w:rsidR="00B00844" w:rsidRPr="003A3879" w:rsidTr="00EE3EFF">
        <w:tc>
          <w:tcPr>
            <w:tcW w:w="4338" w:type="dxa"/>
            <w:shd w:val="clear" w:color="auto" w:fill="DBE5F1" w:themeFill="accent1" w:themeFillTint="33"/>
          </w:tcPr>
          <w:p w:rsidR="000A707F" w:rsidRPr="00A73A74" w:rsidRDefault="00B0084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1.5 Couverture de l’enregistrement des décès</w:t>
            </w:r>
          </w:p>
          <w:p w:rsidR="00B00844" w:rsidRPr="00A73A74" w:rsidRDefault="000A707F" w:rsidP="006670A7">
            <w:pPr>
              <w:spacing w:before="0" w:after="0" w:line="240" w:lineRule="auto"/>
              <w:rPr>
                <w:rFonts w:asciiTheme="minorHAnsi" w:eastAsiaTheme="minorEastAsia" w:hAnsiTheme="minorHAnsi" w:cstheme="minorBidi"/>
                <w:lang w:val="fr-FR"/>
              </w:rPr>
            </w:pPr>
            <w:r w:rsidRPr="00A73A74">
              <w:rPr>
                <w:rFonts w:asciiTheme="minorHAnsi" w:hAnsiTheme="minorHAnsi"/>
                <w:i/>
                <w:iCs/>
                <w:lang w:val="fr"/>
              </w:rPr>
              <w:t>Définition </w:t>
            </w:r>
            <w:r w:rsidRPr="00A73A74">
              <w:rPr>
                <w:rFonts w:asciiTheme="minorHAnsi" w:hAnsiTheme="minorHAnsi"/>
                <w:lang w:val="fr"/>
              </w:rPr>
              <w:t>: Pourcentage des décès qui sont enregistrés (avec mention de l’âge et du sexe) pendant une période donnée (une année)</w:t>
            </w:r>
          </w:p>
          <w:p w:rsidR="00B00844" w:rsidRPr="00A73A74" w:rsidRDefault="00B00844" w:rsidP="00E858B4">
            <w:pPr>
              <w:spacing w:before="0" w:after="0" w:line="240" w:lineRule="auto"/>
              <w:rPr>
                <w:rFonts w:asciiTheme="minorHAnsi" w:eastAsiaTheme="minorEastAsia" w:hAnsiTheme="minorHAnsi" w:cstheme="minorBidi"/>
                <w:lang w:val="fr-FR"/>
              </w:rPr>
            </w:pPr>
          </w:p>
          <w:p w:rsidR="000A707F" w:rsidRPr="00A73A74" w:rsidRDefault="00B0084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 xml:space="preserve">3.5 Couverture de l’enregistrement des naissances </w:t>
            </w:r>
          </w:p>
          <w:p w:rsidR="00B00844" w:rsidRPr="00A73A74" w:rsidRDefault="000A707F" w:rsidP="00757A5F">
            <w:pPr>
              <w:spacing w:before="0" w:after="0" w:line="240" w:lineRule="auto"/>
              <w:rPr>
                <w:rFonts w:asciiTheme="minorHAnsi" w:eastAsiaTheme="minorEastAsia" w:hAnsiTheme="minorHAnsi" w:cstheme="minorBidi"/>
                <w:lang w:val="fr-FR"/>
              </w:rPr>
            </w:pPr>
            <w:r w:rsidRPr="00A73A74">
              <w:rPr>
                <w:rFonts w:asciiTheme="minorHAnsi" w:hAnsiTheme="minorHAnsi"/>
                <w:i/>
                <w:iCs/>
                <w:lang w:val="fr"/>
              </w:rPr>
              <w:t>Définition </w:t>
            </w:r>
            <w:r w:rsidRPr="00A73A74">
              <w:rPr>
                <w:rFonts w:asciiTheme="minorHAnsi" w:hAnsiTheme="minorHAnsi"/>
                <w:lang w:val="fr"/>
              </w:rPr>
              <w:t xml:space="preserve">: Niveau estimé de la couverture de </w:t>
            </w:r>
            <w:r w:rsidRPr="00A73A74">
              <w:rPr>
                <w:rFonts w:asciiTheme="minorHAnsi" w:hAnsiTheme="minorHAnsi"/>
                <w:lang w:val="fr"/>
              </w:rPr>
              <w:lastRenderedPageBreak/>
              <w:t>l’enregistrement des naissances</w:t>
            </w:r>
          </w:p>
          <w:p w:rsidR="00B00844" w:rsidRPr="00A73A74" w:rsidRDefault="00B00844" w:rsidP="00757A5F">
            <w:pPr>
              <w:spacing w:before="0" w:after="0" w:line="240" w:lineRule="auto"/>
              <w:rPr>
                <w:rFonts w:asciiTheme="minorHAnsi" w:eastAsiaTheme="minorEastAsia" w:hAnsiTheme="minorHAnsi" w:cstheme="minorBidi"/>
                <w:lang w:val="fr-FR"/>
              </w:rPr>
            </w:pPr>
          </w:p>
        </w:tc>
        <w:tc>
          <w:tcPr>
            <w:tcW w:w="4500" w:type="dxa"/>
            <w:shd w:val="clear" w:color="auto" w:fill="DBE5F1" w:themeFill="accent1" w:themeFillTint="33"/>
          </w:tcPr>
          <w:p w:rsidR="00B00844" w:rsidRPr="00A73A74" w:rsidRDefault="006A27F3"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lastRenderedPageBreak/>
              <w:t>Les indicateurs d'enregistrement des décès et des naissances ne sont pas complètement alignés sur l'indicateur des ODD.</w:t>
            </w:r>
          </w:p>
          <w:p w:rsidR="003F18D4" w:rsidRPr="00A73A74" w:rsidRDefault="003F18D4" w:rsidP="003F18D4">
            <w:pPr>
              <w:spacing w:before="0" w:after="0" w:line="240" w:lineRule="auto"/>
              <w:rPr>
                <w:rFonts w:asciiTheme="minorHAnsi" w:eastAsiaTheme="minorEastAsia" w:hAnsiTheme="minorHAnsi" w:cstheme="minorBidi"/>
                <w:lang w:val="fr-FR"/>
              </w:rPr>
            </w:pPr>
          </w:p>
          <w:p w:rsidR="00B00844" w:rsidRPr="00A73A74" w:rsidRDefault="00B0084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 xml:space="preserve">L'introduction de l'indicateur 17.19.2(b) comme partie du cadre mondial des ODD reflète la reconnaissance du rôle fondamental du système d'enregistrement de l'état civil dans le </w:t>
            </w:r>
            <w:r w:rsidRPr="00A73A74">
              <w:rPr>
                <w:rFonts w:asciiTheme="minorHAnsi" w:eastAsiaTheme="minorEastAsia" w:hAnsiTheme="minorHAnsi" w:cstheme="minorBidi"/>
                <w:lang w:val="fr"/>
              </w:rPr>
              <w:lastRenderedPageBreak/>
              <w:t xml:space="preserve">fonctionnement des sociétés, et des avantages juridiques et protecteurs qu'il offre aux individus. Le but principal du système d'enregistrement de l'état civil est de fournir les documents juridiques présentant un intérêt direct </w:t>
            </w:r>
            <w:r w:rsidR="009D22A2" w:rsidRPr="00A73A74">
              <w:rPr>
                <w:rFonts w:asciiTheme="minorHAnsi" w:eastAsiaTheme="minorEastAsia" w:hAnsiTheme="minorHAnsi" w:cstheme="minorBidi"/>
                <w:lang w:val="fr"/>
              </w:rPr>
              <w:t xml:space="preserve">pour les </w:t>
            </w:r>
            <w:r w:rsidRPr="00A73A74">
              <w:rPr>
                <w:rFonts w:asciiTheme="minorHAnsi" w:eastAsiaTheme="minorEastAsia" w:hAnsiTheme="minorHAnsi" w:cstheme="minorBidi"/>
                <w:lang w:val="fr"/>
              </w:rPr>
              <w:t>individus.</w:t>
            </w:r>
          </w:p>
          <w:p w:rsidR="00B00844" w:rsidRPr="00A73A74" w:rsidRDefault="00B00844" w:rsidP="00757A5F">
            <w:pPr>
              <w:spacing w:before="0" w:after="0" w:line="240" w:lineRule="auto"/>
              <w:rPr>
                <w:rFonts w:asciiTheme="minorHAnsi" w:eastAsiaTheme="minorEastAsia" w:hAnsiTheme="minorHAnsi" w:cstheme="minorBidi"/>
                <w:lang w:val="fr-FR"/>
              </w:rPr>
            </w:pPr>
          </w:p>
          <w:p w:rsidR="00B00844" w:rsidRPr="00A73A74" w:rsidRDefault="00B00844" w:rsidP="00757A5F">
            <w:pPr>
              <w:spacing w:before="0" w:after="0" w:line="240" w:lineRule="auto"/>
              <w:rPr>
                <w:rFonts w:asciiTheme="minorHAnsi" w:eastAsiaTheme="minorEastAsia" w:hAnsiTheme="minorHAnsi" w:cstheme="minorBidi"/>
                <w:lang w:val="fr-FR"/>
              </w:rPr>
            </w:pPr>
          </w:p>
        </w:tc>
        <w:tc>
          <w:tcPr>
            <w:tcW w:w="6300" w:type="dxa"/>
            <w:shd w:val="clear" w:color="auto" w:fill="DBE5F1" w:themeFill="accent1" w:themeFillTint="33"/>
          </w:tcPr>
          <w:p w:rsidR="006A27F3" w:rsidRPr="00A73A74" w:rsidRDefault="006A27F3" w:rsidP="00757A5F">
            <w:pPr>
              <w:spacing w:before="0" w:after="0" w:line="240" w:lineRule="auto"/>
              <w:rPr>
                <w:rFonts w:asciiTheme="minorHAnsi" w:hAnsiTheme="minorHAnsi"/>
                <w:lang w:val="fr-FR"/>
              </w:rPr>
            </w:pPr>
            <w:r w:rsidRPr="00A73A74">
              <w:rPr>
                <w:rFonts w:asciiTheme="minorHAnsi" w:hAnsiTheme="minorHAnsi"/>
                <w:lang w:val="fr"/>
              </w:rPr>
              <w:lastRenderedPageBreak/>
              <w:t>Intégrer l'indicateur 17.19.2 (b) des ODD - nombre de pays avec 100 % d'enregistrement des naissances et 80 % d'enregistrement des décès - aux indicateurs 1.5 et 3.5 sur les enregistrements des naissances et des décès pour renforcer le lien entre le Cadre de suivi des îles-santé et les ODD.</w:t>
            </w:r>
          </w:p>
          <w:p w:rsidR="00B00844" w:rsidRPr="00A73A74" w:rsidRDefault="00B00844" w:rsidP="006670A7">
            <w:pPr>
              <w:spacing w:before="0" w:after="0" w:line="240" w:lineRule="auto"/>
              <w:rPr>
                <w:rFonts w:asciiTheme="minorHAnsi" w:eastAsiaTheme="minorEastAsia" w:hAnsiTheme="minorHAnsi" w:cstheme="minorBidi"/>
                <w:lang w:val="fr-FR"/>
              </w:rPr>
            </w:pPr>
          </w:p>
          <w:p w:rsidR="00B00844" w:rsidRPr="00A73A74" w:rsidRDefault="006A27F3" w:rsidP="006670A7">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 xml:space="preserve">L'indicateur des ODD 17.19.2(b) comprend deux parties ; la première concerne l'enregistrement des naissances et la deuxième, </w:t>
            </w:r>
            <w:r w:rsidRPr="00A73A74">
              <w:rPr>
                <w:rFonts w:asciiTheme="minorHAnsi" w:eastAsiaTheme="minorEastAsia" w:hAnsiTheme="minorHAnsi" w:cstheme="minorBidi"/>
                <w:lang w:val="fr"/>
              </w:rPr>
              <w:lastRenderedPageBreak/>
              <w:t>l'enregistrement des décès.</w:t>
            </w:r>
          </w:p>
          <w:p w:rsidR="006C156C" w:rsidRPr="00A73A74" w:rsidRDefault="006C156C" w:rsidP="00E858B4">
            <w:pPr>
              <w:spacing w:before="0" w:after="0" w:line="240" w:lineRule="auto"/>
              <w:rPr>
                <w:rFonts w:asciiTheme="minorHAnsi" w:eastAsiaTheme="minorEastAsia" w:hAnsiTheme="minorHAnsi" w:cstheme="minorBidi"/>
                <w:lang w:val="fr-FR"/>
              </w:rPr>
            </w:pPr>
          </w:p>
          <w:p w:rsidR="00B00844" w:rsidRPr="00A73A74" w:rsidRDefault="006A27F3" w:rsidP="00E858B4">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Les pays et les zones communiquent les informations sur la disponibilité et l'intégralité des données d'enregistrement des naissances et décès au niveau national à l'Annuaire démographique des Nations Unies via le questionnaire de l'Annuaire démographique des statistiques de l'état civil et des métadonnées associées.</w:t>
            </w:r>
          </w:p>
          <w:p w:rsidR="00B00844" w:rsidRPr="00A73A74" w:rsidRDefault="00B00844" w:rsidP="00E858B4">
            <w:pPr>
              <w:spacing w:before="0" w:after="0" w:line="240" w:lineRule="auto"/>
              <w:rPr>
                <w:rFonts w:asciiTheme="minorHAnsi" w:eastAsiaTheme="minorEastAsia" w:hAnsiTheme="minorHAnsi" w:cstheme="minorBidi"/>
                <w:lang w:val="fr-FR"/>
              </w:rPr>
            </w:pPr>
          </w:p>
          <w:p w:rsidR="00B00844" w:rsidRPr="00A73A74" w:rsidRDefault="00B00844" w:rsidP="003F18D4">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 xml:space="preserve">Le niveau national d'intégralité des enregistrements des naissances et des décès est fourni par les bureaux nationaux des statistiques de chaque pays et zone à la Division de statistique de l'ONU comme partie intégrante de la collecte de données annuelle destinée à l'Annuaire démographique des Nations Unies. </w:t>
            </w:r>
          </w:p>
          <w:p w:rsidR="003F18D4" w:rsidRPr="00A73A74" w:rsidRDefault="003F18D4" w:rsidP="00757A5F">
            <w:pPr>
              <w:spacing w:before="0" w:after="0" w:line="240" w:lineRule="auto"/>
              <w:rPr>
                <w:rFonts w:asciiTheme="minorHAnsi" w:eastAsiaTheme="minorEastAsia" w:hAnsiTheme="minorHAnsi" w:cstheme="minorBidi"/>
                <w:lang w:val="fr-FR"/>
              </w:rPr>
            </w:pPr>
          </w:p>
        </w:tc>
      </w:tr>
      <w:tr w:rsidR="00B00844" w:rsidRPr="003A3879" w:rsidTr="00EE3EFF">
        <w:tc>
          <w:tcPr>
            <w:tcW w:w="4338" w:type="dxa"/>
            <w:shd w:val="clear" w:color="auto" w:fill="DBE5F1" w:themeFill="accent1" w:themeFillTint="33"/>
          </w:tcPr>
          <w:p w:rsidR="00B00844" w:rsidRPr="00A73A74" w:rsidRDefault="00B00844" w:rsidP="00757A5F">
            <w:pPr>
              <w:spacing w:before="0" w:after="0" w:line="240" w:lineRule="auto"/>
              <w:rPr>
                <w:rFonts w:asciiTheme="minorHAnsi" w:eastAsiaTheme="minorEastAsia" w:hAnsiTheme="minorHAnsi" w:cstheme="minorBidi"/>
              </w:rPr>
            </w:pPr>
            <w:bookmarkStart w:id="5" w:name="_Toc535435407"/>
            <w:r w:rsidRPr="00A73A74">
              <w:rPr>
                <w:rFonts w:asciiTheme="minorHAnsi" w:eastAsiaTheme="minorEastAsia" w:hAnsiTheme="minorHAnsi" w:cstheme="minorBidi"/>
                <w:lang w:val="fr"/>
              </w:rPr>
              <w:lastRenderedPageBreak/>
              <w:t>4.5 Nombre d'épidémies de maladies vectorielles</w:t>
            </w:r>
            <w:bookmarkEnd w:id="5"/>
          </w:p>
          <w:p w:rsidR="00B00844" w:rsidRPr="00A73A74" w:rsidRDefault="00B00844" w:rsidP="00757A5F">
            <w:pPr>
              <w:spacing w:before="0" w:after="0" w:line="240" w:lineRule="auto"/>
              <w:ind w:firstLine="720"/>
              <w:rPr>
                <w:rFonts w:asciiTheme="minorHAnsi" w:eastAsiaTheme="minorEastAsia" w:hAnsiTheme="minorHAnsi" w:cstheme="minorBidi"/>
                <w:b/>
              </w:rPr>
            </w:pPr>
          </w:p>
        </w:tc>
        <w:tc>
          <w:tcPr>
            <w:tcW w:w="4500" w:type="dxa"/>
            <w:shd w:val="clear" w:color="auto" w:fill="DBE5F1" w:themeFill="accent1" w:themeFillTint="33"/>
          </w:tcPr>
          <w:p w:rsidR="00B00844" w:rsidRPr="00A73A74" w:rsidRDefault="003F18D4"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 xml:space="preserve">Le taux d'achèvement pour cet indicateur était de 41 % dans le premier rapport d'étape. </w:t>
            </w:r>
          </w:p>
          <w:p w:rsidR="003F18D4" w:rsidRPr="00A73A74" w:rsidRDefault="003F18D4" w:rsidP="003F18D4">
            <w:pPr>
              <w:spacing w:before="0" w:after="0" w:line="240" w:lineRule="auto"/>
              <w:rPr>
                <w:rFonts w:asciiTheme="minorHAnsi" w:eastAsiaTheme="minorEastAsia" w:hAnsiTheme="minorHAnsi" w:cstheme="minorBidi"/>
                <w:lang w:val="fr-FR"/>
              </w:rPr>
            </w:pPr>
          </w:p>
          <w:p w:rsidR="00B00844" w:rsidRPr="00A73A74" w:rsidRDefault="003F18D4" w:rsidP="004918B2">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Selon les pays, les définitions diff</w:t>
            </w:r>
            <w:r w:rsidR="009D22A2" w:rsidRPr="00A73A74">
              <w:rPr>
                <w:rFonts w:asciiTheme="minorHAnsi" w:eastAsiaTheme="minorEastAsia" w:hAnsiTheme="minorHAnsi" w:cstheme="minorBidi"/>
                <w:lang w:val="fr"/>
              </w:rPr>
              <w:t>è</w:t>
            </w:r>
            <w:r w:rsidRPr="00A73A74">
              <w:rPr>
                <w:rFonts w:asciiTheme="minorHAnsi" w:eastAsiaTheme="minorEastAsia" w:hAnsiTheme="minorHAnsi" w:cstheme="minorBidi"/>
                <w:lang w:val="fr"/>
              </w:rPr>
              <w:t xml:space="preserve">rent pour les épidémies et les vecteurs ne sont pas les mêmes, </w:t>
            </w:r>
            <w:r w:rsidR="004918B2">
              <w:rPr>
                <w:rFonts w:asciiTheme="minorHAnsi" w:eastAsiaTheme="minorEastAsia" w:hAnsiTheme="minorHAnsi" w:cstheme="minorBidi"/>
                <w:lang w:val="fr"/>
              </w:rPr>
              <w:t>celui</w:t>
            </w:r>
            <w:r w:rsidRPr="00A73A74">
              <w:rPr>
                <w:rFonts w:asciiTheme="minorHAnsi" w:eastAsiaTheme="minorEastAsia" w:hAnsiTheme="minorHAnsi" w:cstheme="minorBidi"/>
                <w:lang w:val="fr"/>
              </w:rPr>
              <w:t xml:space="preserve"> rend les comparaisons entre pays inutiles. </w:t>
            </w:r>
          </w:p>
        </w:tc>
        <w:tc>
          <w:tcPr>
            <w:tcW w:w="6300" w:type="dxa"/>
            <w:shd w:val="clear" w:color="auto" w:fill="DBE5F1" w:themeFill="accent1" w:themeFillTint="33"/>
          </w:tcPr>
          <w:p w:rsidR="00F2086C" w:rsidRPr="00A73A74" w:rsidRDefault="00F2086C"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Modifier l'indicateur pour le nombre d'épidémies de maladies vectorielles afin de permettre l'établissement de rapports en ayant recours à des données de surveillance existantes comparables, et charger le Réseau océanien de surveillance de la santé publique (ROSSP) de fournir la définition technique ainsi que la méthode de calcul pour mesurer l'indicateur ;</w:t>
            </w:r>
          </w:p>
          <w:p w:rsidR="003F18D4" w:rsidRPr="00A73A74" w:rsidRDefault="003F18D4" w:rsidP="003F18D4">
            <w:pPr>
              <w:spacing w:before="0" w:after="0" w:line="240" w:lineRule="auto"/>
              <w:rPr>
                <w:rFonts w:asciiTheme="minorHAnsi" w:eastAsiaTheme="minorEastAsia" w:hAnsiTheme="minorHAnsi" w:cstheme="minorBidi"/>
                <w:lang w:val="fr-FR"/>
              </w:rPr>
            </w:pPr>
          </w:p>
          <w:p w:rsidR="00B00844" w:rsidRPr="00EF25FF" w:rsidRDefault="00F2086C" w:rsidP="00757A5F">
            <w:pPr>
              <w:spacing w:before="0" w:after="0" w:line="240" w:lineRule="auto"/>
              <w:rPr>
                <w:rFonts w:asciiTheme="minorHAnsi" w:eastAsiaTheme="minorEastAsia" w:hAnsiTheme="minorHAnsi" w:cstheme="minorBidi"/>
                <w:lang w:val="fr-FR"/>
              </w:rPr>
            </w:pPr>
            <w:r w:rsidRPr="00A73A74">
              <w:rPr>
                <w:rFonts w:asciiTheme="minorHAnsi" w:eastAsiaTheme="minorEastAsia" w:hAnsiTheme="minorHAnsi" w:cstheme="minorBidi"/>
                <w:lang w:val="fr"/>
              </w:rPr>
              <w:t xml:space="preserve"> Il est recommandé de classer cet indicateur parmi les</w:t>
            </w:r>
            <w:r w:rsidR="009D22A2" w:rsidRPr="00A73A74">
              <w:rPr>
                <w:rFonts w:asciiTheme="minorHAnsi" w:eastAsiaTheme="minorEastAsia" w:hAnsiTheme="minorHAnsi" w:cstheme="minorBidi"/>
                <w:lang w:val="fr"/>
              </w:rPr>
              <w:t xml:space="preserve"> « indicateurs</w:t>
            </w:r>
            <w:r w:rsidRPr="00A73A74">
              <w:rPr>
                <w:rFonts w:asciiTheme="minorHAnsi" w:eastAsiaTheme="minorEastAsia" w:hAnsiTheme="minorHAnsi" w:cstheme="minorBidi"/>
                <w:lang w:val="fr"/>
              </w:rPr>
              <w:t xml:space="preserve"> clés » plutôt que complémentaires du fait des changements rapides des incidences annuelles des maladies infectieuses.</w:t>
            </w:r>
          </w:p>
        </w:tc>
      </w:tr>
    </w:tbl>
    <w:p w:rsidR="003F0C4F" w:rsidRPr="00EF25FF" w:rsidRDefault="003F0C4F" w:rsidP="00DC732A">
      <w:pPr>
        <w:rPr>
          <w:bCs/>
          <w:lang w:val="fr-FR"/>
        </w:rPr>
      </w:pPr>
    </w:p>
    <w:sectPr w:rsidR="003F0C4F" w:rsidRPr="00EF25FF" w:rsidSect="003F0C4F">
      <w:headerReference w:type="first" r:id="rId15"/>
      <w:pgSz w:w="16839" w:h="11907" w:orient="landscape" w:code="9"/>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167" w:rsidRDefault="00164167" w:rsidP="00DC6979">
      <w:pPr>
        <w:spacing w:after="0" w:line="240" w:lineRule="auto"/>
      </w:pPr>
      <w:r>
        <w:separator/>
      </w:r>
    </w:p>
  </w:endnote>
  <w:endnote w:type="continuationSeparator" w:id="0">
    <w:p w:rsidR="00164167" w:rsidRDefault="00164167"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ato">
    <w:altName w:val="Calibri"/>
    <w:charset w:val="00"/>
    <w:family w:val="swiss"/>
    <w:pitch w:val="variable"/>
    <w:sig w:usb0="00000001" w:usb1="5000E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A5F" w:rsidRDefault="00757A5F" w:rsidP="00BD60F7">
    <w:pPr>
      <w:pStyle w:val="Footer"/>
      <w:pBdr>
        <w:top w:val="single" w:sz="4" w:space="1" w:color="D9D9D9" w:themeColor="background1" w:themeShade="D9"/>
      </w:pBdr>
      <w:rPr>
        <w:b/>
        <w:bCs/>
      </w:rPr>
    </w:pPr>
  </w:p>
  <w:p w:rsidR="00757A5F" w:rsidRDefault="00757A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167" w:rsidRDefault="00164167" w:rsidP="00DC6979">
      <w:pPr>
        <w:spacing w:after="0" w:line="240" w:lineRule="auto"/>
      </w:pPr>
      <w:r>
        <w:separator/>
      </w:r>
    </w:p>
  </w:footnote>
  <w:footnote w:type="continuationSeparator" w:id="0">
    <w:p w:rsidR="00164167" w:rsidRDefault="00164167" w:rsidP="00DC6979">
      <w:pPr>
        <w:spacing w:after="0" w:line="240" w:lineRule="auto"/>
      </w:pPr>
      <w:r>
        <w:continuationSeparator/>
      </w:r>
    </w:p>
  </w:footnote>
  <w:footnote w:id="1">
    <w:p w:rsidR="00757A5F" w:rsidRPr="00082514" w:rsidRDefault="00757A5F" w:rsidP="00757A5F">
      <w:pPr>
        <w:pStyle w:val="FootnoteText"/>
        <w:spacing w:after="60"/>
        <w:rPr>
          <w:sz w:val="18"/>
          <w:szCs w:val="18"/>
          <w:lang w:val="fr-FR"/>
        </w:rPr>
      </w:pPr>
      <w:r w:rsidRPr="00082514">
        <w:rPr>
          <w:rStyle w:val="FootnoteReference"/>
          <w:rFonts w:asciiTheme="minorHAnsi" w:hAnsiTheme="minorHAnsi" w:cstheme="minorHAnsi"/>
          <w:sz w:val="18"/>
          <w:szCs w:val="18"/>
          <w:lang w:val="fr"/>
        </w:rPr>
        <w:footnoteRef/>
      </w:r>
      <w:r w:rsidRPr="00082514">
        <w:rPr>
          <w:rFonts w:asciiTheme="minorHAnsi" w:hAnsiTheme="minorHAnsi" w:cstheme="minorHAnsi"/>
          <w:sz w:val="18"/>
          <w:szCs w:val="18"/>
          <w:lang w:val="fr"/>
        </w:rPr>
        <w:t>Pitcairn s'est retiré du fait d'une très faible population.</w:t>
      </w:r>
    </w:p>
  </w:footnote>
  <w:footnote w:id="2">
    <w:p w:rsidR="00757A5F" w:rsidRPr="00082514" w:rsidRDefault="00757A5F" w:rsidP="00757A5F">
      <w:pPr>
        <w:pStyle w:val="FootnoteText"/>
        <w:spacing w:after="60"/>
        <w:rPr>
          <w:rFonts w:asciiTheme="minorHAnsi" w:hAnsiTheme="minorHAnsi" w:cstheme="minorHAnsi"/>
          <w:sz w:val="18"/>
          <w:szCs w:val="18"/>
          <w:lang w:val="fr-FR"/>
        </w:rPr>
      </w:pPr>
      <w:r w:rsidRPr="00082514">
        <w:rPr>
          <w:rStyle w:val="FootnoteReference"/>
          <w:rFonts w:asciiTheme="minorHAnsi" w:hAnsiTheme="minorHAnsi" w:cstheme="minorHAnsi"/>
          <w:sz w:val="18"/>
          <w:szCs w:val="18"/>
          <w:lang w:val="fr"/>
        </w:rPr>
        <w:footnoteRef/>
      </w:r>
      <w:r w:rsidRPr="00082514">
        <w:rPr>
          <w:rFonts w:asciiTheme="minorHAnsi" w:hAnsiTheme="minorHAnsi" w:cstheme="minorHAnsi"/>
          <w:sz w:val="18"/>
          <w:szCs w:val="18"/>
          <w:lang w:val="fr"/>
        </w:rPr>
        <w:t xml:space="preserve"> Sur la base des recommandations du secrétariat, les directeurs de la santé des pays océaniens sont convenus de modifier l'indicateur pour la vaccination contre le papillomavirus humain (PVH) comme suit : « les femmes âgées de moins de 15 ans à qui ont été administrées deux doses de vaccin PVH » afin de l'aligner avec le calendrier de vaccination actuel dans le Pacifique (et en accord avec les recommandations mondiales), ainsi que la formulation des indicateurs sur l'approvionnement en eau (« La population qui utilise des services des eaux dispensés en toute sécurité ») et l'assainissement (« La population qui utilise des services d'assainissement gérés en toute sécurité ») afin de les aligner avec les indicateurs des ODD.</w:t>
      </w:r>
    </w:p>
  </w:footnote>
  <w:footnote w:id="3">
    <w:p w:rsidR="00757A5F" w:rsidRPr="00082514" w:rsidRDefault="00757A5F" w:rsidP="00757A5F">
      <w:pPr>
        <w:pStyle w:val="FootnoteText"/>
        <w:spacing w:after="60"/>
        <w:rPr>
          <w:rFonts w:asciiTheme="minorHAnsi" w:hAnsiTheme="minorHAnsi" w:cstheme="minorHAnsi"/>
          <w:sz w:val="18"/>
          <w:szCs w:val="18"/>
          <w:lang w:val="fr-FR"/>
        </w:rPr>
      </w:pPr>
      <w:r w:rsidRPr="00082514">
        <w:rPr>
          <w:rFonts w:asciiTheme="minorHAnsi" w:hAnsiTheme="minorHAnsi" w:cstheme="minorHAnsi"/>
          <w:sz w:val="18"/>
          <w:szCs w:val="18"/>
          <w:vertAlign w:val="superscript"/>
          <w:lang w:val="fr"/>
        </w:rPr>
        <w:footnoteRef/>
      </w:r>
      <w:r w:rsidRPr="00082514">
        <w:rPr>
          <w:rFonts w:asciiTheme="minorHAnsi" w:hAnsiTheme="minorHAnsi" w:cstheme="minorHAnsi"/>
          <w:sz w:val="18"/>
          <w:szCs w:val="18"/>
          <w:lang w:val="fr"/>
        </w:rPr>
        <w:t xml:space="preserve"> Huit groupes d'experts ont été créés pour fournir les avis et les idées de spécialistes relatifs aux huit indicateurs du cadre pour lesquels il manque des données. Le secrétariat a également collaboré avec l'Institut australien pour la santé et le bien-être, un centre de collaboration de l'OMS pour l'information sur la santé, en vue d'améliorer le cadre de suivi. </w:t>
      </w:r>
    </w:p>
  </w:footnote>
  <w:footnote w:id="4">
    <w:p w:rsidR="00757A5F" w:rsidRPr="00EF25FF" w:rsidRDefault="00757A5F" w:rsidP="00757A5F">
      <w:pPr>
        <w:pStyle w:val="FootnoteText"/>
        <w:spacing w:after="60"/>
        <w:rPr>
          <w:lang w:val="fr-FR"/>
        </w:rPr>
      </w:pPr>
      <w:r w:rsidRPr="00082514">
        <w:rPr>
          <w:rFonts w:asciiTheme="minorHAnsi" w:hAnsiTheme="minorHAnsi" w:cstheme="minorHAnsi"/>
          <w:sz w:val="18"/>
          <w:szCs w:val="18"/>
          <w:vertAlign w:val="superscript"/>
          <w:lang w:val="fr"/>
        </w:rPr>
        <w:footnoteRef/>
      </w:r>
      <w:r w:rsidRPr="00082514">
        <w:rPr>
          <w:rFonts w:asciiTheme="minorHAnsi" w:hAnsiTheme="minorHAnsi" w:cstheme="minorHAnsi"/>
          <w:sz w:val="18"/>
          <w:szCs w:val="18"/>
          <w:vertAlign w:val="superscript"/>
          <w:lang w:val="fr"/>
        </w:rPr>
        <w:t xml:space="preserve"> </w:t>
      </w:r>
      <w:r w:rsidRPr="00082514">
        <w:rPr>
          <w:rFonts w:asciiTheme="minorHAnsi" w:hAnsiTheme="minorHAnsi" w:cstheme="minorHAnsi"/>
          <w:sz w:val="18"/>
          <w:szCs w:val="18"/>
          <w:lang w:val="fr"/>
        </w:rPr>
        <w:t>Les systèmes basés sur internet ont montré leur capacité à rationaliser la collecte, la gestion et l'analyse de données en standardisant les méthodologies pour la collecte de données, en automatisant les fonctions de gestion des données et en générant des rapports statistiques standardisés prêts à l'utilisation pour guider les politiques de santé publique.</w:t>
      </w:r>
    </w:p>
  </w:footnote>
  <w:footnote w:id="5">
    <w:p w:rsidR="00757A5F" w:rsidRPr="00EF25FF" w:rsidRDefault="00757A5F" w:rsidP="00757A5F">
      <w:pPr>
        <w:pStyle w:val="FootnoteText"/>
        <w:spacing w:after="60"/>
        <w:rPr>
          <w:sz w:val="18"/>
          <w:szCs w:val="18"/>
          <w:lang w:val="fr-FR"/>
        </w:rPr>
      </w:pPr>
      <w:r w:rsidRPr="00C6129D">
        <w:rPr>
          <w:rStyle w:val="FootnoteReference"/>
          <w:rFonts w:asciiTheme="minorHAnsi" w:hAnsiTheme="minorHAnsi" w:cstheme="minorHAnsi"/>
          <w:sz w:val="18"/>
          <w:szCs w:val="18"/>
          <w:lang w:val="fr"/>
        </w:rPr>
        <w:footnoteRef/>
      </w:r>
      <w:r w:rsidRPr="00C6129D">
        <w:rPr>
          <w:rFonts w:asciiTheme="minorHAnsi" w:hAnsiTheme="minorHAnsi" w:cstheme="minorHAnsi"/>
          <w:sz w:val="18"/>
          <w:szCs w:val="18"/>
          <w:lang w:val="fr"/>
        </w:rPr>
        <w:t xml:space="preserve"> De plus amples informations sur les métadonnées des indicateurs sont disponibles dans le</w:t>
      </w:r>
      <w:hyperlink r:id="rId1" w:history="1">
        <w:r w:rsidRPr="00C6129D">
          <w:rPr>
            <w:rStyle w:val="Hyperlink"/>
            <w:rFonts w:asciiTheme="minorHAnsi" w:hAnsiTheme="minorHAnsi" w:cstheme="minorHAnsi"/>
            <w:sz w:val="18"/>
            <w:szCs w:val="18"/>
            <w:lang w:val="fr"/>
          </w:rPr>
          <w:t xml:space="preserve"> Registre d’Indicateurs et de Métadonnées de l’OMS.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A5F" w:rsidRPr="007608DB" w:rsidRDefault="00757A5F" w:rsidP="00BD60F7">
    <w:pPr>
      <w:pStyle w:val="Header"/>
      <w:rPr>
        <w:rFonts w:asciiTheme="majorBidi" w:hAnsiTheme="majorBidi" w:cstheme="majorBidi"/>
        <w:b/>
        <w:bCs/>
      </w:rPr>
    </w:pPr>
    <w:r>
      <w:rPr>
        <w:rFonts w:asciiTheme="majorBidi" w:hAnsiTheme="majorBidi" w:cstheme="majorBidi"/>
        <w:b/>
        <w:bCs/>
        <w:lang w:val="fr"/>
      </w:rPr>
      <w:t>PIC13/</w:t>
    </w:r>
    <w:r w:rsidR="00A75F05">
      <w:rPr>
        <w:rFonts w:asciiTheme="majorBidi" w:hAnsiTheme="majorBidi" w:cstheme="majorBidi"/>
        <w:b/>
        <w:bCs/>
        <w:lang w:val="fr"/>
      </w:rPr>
      <w:t>19</w:t>
    </w:r>
  </w:p>
  <w:p w:rsidR="00757A5F" w:rsidRDefault="00757A5F"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244210">
      <w:rPr>
        <w:rFonts w:asciiTheme="majorBidi" w:hAnsiTheme="majorBidi" w:cstheme="majorBidi"/>
        <w:b/>
        <w:bCs/>
        <w:noProof/>
        <w:lang w:val="fr"/>
      </w:rPr>
      <w:t>10</w:t>
    </w:r>
    <w:r>
      <w:rPr>
        <w:rFonts w:asciiTheme="majorBidi" w:hAnsiTheme="majorBidi" w:cstheme="majorBidi"/>
        <w:noProof/>
        <w:lang w:val="fr"/>
      </w:rPr>
      <w:fldChar w:fldCharType="end"/>
    </w:r>
  </w:p>
  <w:p w:rsidR="00757A5F" w:rsidRDefault="00757A5F" w:rsidP="00BD60F7">
    <w:pPr>
      <w:pStyle w:val="Header"/>
      <w:rPr>
        <w:rFonts w:asciiTheme="majorBidi" w:hAnsiTheme="majorBidi" w:cstheme="majorBidi"/>
        <w:b/>
        <w:bCs/>
        <w:noProof/>
      </w:rPr>
    </w:pPr>
  </w:p>
  <w:p w:rsidR="00757A5F" w:rsidRPr="007608DB" w:rsidRDefault="00757A5F"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A5F" w:rsidRDefault="00AE4929" w:rsidP="00BD60F7">
    <w:pPr>
      <w:pStyle w:val="Header"/>
      <w:jc w:val="right"/>
      <w:rPr>
        <w:rFonts w:asciiTheme="majorBidi" w:hAnsiTheme="majorBidi" w:cstheme="majorBidi"/>
        <w:b/>
        <w:bCs/>
        <w:noProof/>
      </w:rPr>
    </w:pPr>
    <w:r>
      <w:rPr>
        <w:rFonts w:asciiTheme="majorBidi" w:hAnsiTheme="majorBidi" w:cstheme="majorBidi"/>
        <w:b/>
        <w:bCs/>
      </w:rPr>
      <w:t>PIC13/S7/1</w:t>
    </w:r>
    <w:r>
      <w:rPr>
        <w:rFonts w:asciiTheme="majorBidi" w:hAnsiTheme="majorBidi" w:cstheme="majorBidi"/>
        <w:b/>
        <w:bCs/>
      </w:rPr>
      <w:br/>
    </w:r>
    <w:r w:rsidR="00757A5F">
      <w:rPr>
        <w:rFonts w:asciiTheme="majorBidi" w:hAnsiTheme="majorBidi" w:cstheme="majorBidi"/>
        <w:b/>
        <w:bCs/>
        <w:lang w:val="fr"/>
      </w:rPr>
      <w:t xml:space="preserve">page </w:t>
    </w:r>
    <w:r w:rsidR="00757A5F">
      <w:rPr>
        <w:rFonts w:asciiTheme="majorBidi" w:hAnsiTheme="majorBidi" w:cstheme="majorBidi"/>
        <w:b/>
        <w:bCs/>
        <w:lang w:val="fr"/>
      </w:rPr>
      <w:fldChar w:fldCharType="begin"/>
    </w:r>
    <w:r w:rsidR="00757A5F">
      <w:rPr>
        <w:rFonts w:asciiTheme="majorBidi" w:hAnsiTheme="majorBidi" w:cstheme="majorBidi"/>
        <w:b/>
        <w:bCs/>
        <w:lang w:val="fr"/>
      </w:rPr>
      <w:instrText xml:space="preserve"> PAGE   \* MERGEFORMAT </w:instrText>
    </w:r>
    <w:r w:rsidR="00757A5F">
      <w:rPr>
        <w:rFonts w:asciiTheme="majorBidi" w:hAnsiTheme="majorBidi" w:cstheme="majorBidi"/>
        <w:b/>
        <w:bCs/>
        <w:lang w:val="fr"/>
      </w:rPr>
      <w:fldChar w:fldCharType="separate"/>
    </w:r>
    <w:r w:rsidR="00FB5D70">
      <w:rPr>
        <w:rFonts w:asciiTheme="majorBidi" w:hAnsiTheme="majorBidi" w:cstheme="majorBidi"/>
        <w:b/>
        <w:bCs/>
        <w:noProof/>
        <w:lang w:val="fr"/>
      </w:rPr>
      <w:t>2</w:t>
    </w:r>
    <w:r w:rsidR="00757A5F">
      <w:rPr>
        <w:rFonts w:asciiTheme="majorBidi" w:hAnsiTheme="majorBidi" w:cstheme="majorBidi"/>
        <w:noProof/>
        <w:lang w:val="fr"/>
      </w:rPr>
      <w:fldChar w:fldCharType="end"/>
    </w:r>
  </w:p>
  <w:p w:rsidR="00757A5F" w:rsidRDefault="00757A5F" w:rsidP="00BD60F7">
    <w:pPr>
      <w:pStyle w:val="Header"/>
      <w:jc w:val="right"/>
      <w:rPr>
        <w:rFonts w:asciiTheme="majorBidi" w:hAnsiTheme="majorBidi" w:cstheme="majorBidi"/>
        <w:b/>
        <w:bCs/>
        <w:noProof/>
      </w:rPr>
    </w:pPr>
  </w:p>
  <w:p w:rsidR="00757A5F" w:rsidRPr="007608DB" w:rsidRDefault="00757A5F"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210" w:rsidRDefault="00244210" w:rsidP="00244210">
    <w:pPr>
      <w:pStyle w:val="Header"/>
      <w:jc w:val="center"/>
    </w:pPr>
    <w:r>
      <w:rPr>
        <w:noProof/>
        <w:lang w:val="en-US" w:eastAsia="en-US"/>
      </w:rPr>
      <w:drawing>
        <wp:inline distT="0" distB="0" distL="0" distR="0" wp14:anchorId="19832DA0" wp14:editId="587A0E3E">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929" w:rsidRDefault="00AE4929" w:rsidP="00244210">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7D9"/>
    <w:multiLevelType w:val="multilevel"/>
    <w:tmpl w:val="EA2E79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6F21264"/>
    <w:multiLevelType w:val="hybridMultilevel"/>
    <w:tmpl w:val="596856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B403A1C"/>
    <w:multiLevelType w:val="hybridMultilevel"/>
    <w:tmpl w:val="25FCB0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DF52986"/>
    <w:multiLevelType w:val="hybridMultilevel"/>
    <w:tmpl w:val="51BC26B8"/>
    <w:lvl w:ilvl="0" w:tplc="6AF6D2BE">
      <w:numFmt w:val="bullet"/>
      <w:lvlText w:val="•"/>
      <w:lvlJc w:val="left"/>
      <w:pPr>
        <w:ind w:left="723" w:hanging="525"/>
      </w:pPr>
      <w:rPr>
        <w:rFonts w:ascii="Arial" w:eastAsia="Times New Roman" w:hAnsi="Arial" w:cs="Arial" w:hint="default"/>
      </w:rPr>
    </w:lvl>
    <w:lvl w:ilvl="1" w:tplc="08090003" w:tentative="1">
      <w:start w:val="1"/>
      <w:numFmt w:val="bullet"/>
      <w:lvlText w:val="o"/>
      <w:lvlJc w:val="left"/>
      <w:pPr>
        <w:ind w:left="1278" w:hanging="360"/>
      </w:pPr>
      <w:rPr>
        <w:rFonts w:ascii="Courier New" w:hAnsi="Courier New" w:cs="Courier New" w:hint="default"/>
      </w:rPr>
    </w:lvl>
    <w:lvl w:ilvl="2" w:tplc="08090005" w:tentative="1">
      <w:start w:val="1"/>
      <w:numFmt w:val="bullet"/>
      <w:lvlText w:val=""/>
      <w:lvlJc w:val="left"/>
      <w:pPr>
        <w:ind w:left="1998" w:hanging="360"/>
      </w:pPr>
      <w:rPr>
        <w:rFonts w:ascii="Wingdings" w:hAnsi="Wingdings" w:hint="default"/>
      </w:rPr>
    </w:lvl>
    <w:lvl w:ilvl="3" w:tplc="08090001" w:tentative="1">
      <w:start w:val="1"/>
      <w:numFmt w:val="bullet"/>
      <w:lvlText w:val=""/>
      <w:lvlJc w:val="left"/>
      <w:pPr>
        <w:ind w:left="2718" w:hanging="360"/>
      </w:pPr>
      <w:rPr>
        <w:rFonts w:ascii="Symbol" w:hAnsi="Symbol" w:hint="default"/>
      </w:rPr>
    </w:lvl>
    <w:lvl w:ilvl="4" w:tplc="08090003" w:tentative="1">
      <w:start w:val="1"/>
      <w:numFmt w:val="bullet"/>
      <w:lvlText w:val="o"/>
      <w:lvlJc w:val="left"/>
      <w:pPr>
        <w:ind w:left="3438" w:hanging="360"/>
      </w:pPr>
      <w:rPr>
        <w:rFonts w:ascii="Courier New" w:hAnsi="Courier New" w:cs="Courier New" w:hint="default"/>
      </w:rPr>
    </w:lvl>
    <w:lvl w:ilvl="5" w:tplc="08090005" w:tentative="1">
      <w:start w:val="1"/>
      <w:numFmt w:val="bullet"/>
      <w:lvlText w:val=""/>
      <w:lvlJc w:val="left"/>
      <w:pPr>
        <w:ind w:left="4158" w:hanging="360"/>
      </w:pPr>
      <w:rPr>
        <w:rFonts w:ascii="Wingdings" w:hAnsi="Wingdings" w:hint="default"/>
      </w:rPr>
    </w:lvl>
    <w:lvl w:ilvl="6" w:tplc="08090001" w:tentative="1">
      <w:start w:val="1"/>
      <w:numFmt w:val="bullet"/>
      <w:lvlText w:val=""/>
      <w:lvlJc w:val="left"/>
      <w:pPr>
        <w:ind w:left="4878" w:hanging="360"/>
      </w:pPr>
      <w:rPr>
        <w:rFonts w:ascii="Symbol" w:hAnsi="Symbol" w:hint="default"/>
      </w:rPr>
    </w:lvl>
    <w:lvl w:ilvl="7" w:tplc="08090003" w:tentative="1">
      <w:start w:val="1"/>
      <w:numFmt w:val="bullet"/>
      <w:lvlText w:val="o"/>
      <w:lvlJc w:val="left"/>
      <w:pPr>
        <w:ind w:left="5598" w:hanging="360"/>
      </w:pPr>
      <w:rPr>
        <w:rFonts w:ascii="Courier New" w:hAnsi="Courier New" w:cs="Courier New" w:hint="default"/>
      </w:rPr>
    </w:lvl>
    <w:lvl w:ilvl="8" w:tplc="08090005" w:tentative="1">
      <w:start w:val="1"/>
      <w:numFmt w:val="bullet"/>
      <w:lvlText w:val=""/>
      <w:lvlJc w:val="left"/>
      <w:pPr>
        <w:ind w:left="6318" w:hanging="360"/>
      </w:pPr>
      <w:rPr>
        <w:rFonts w:ascii="Wingdings" w:hAnsi="Wingdings" w:hint="default"/>
      </w:rPr>
    </w:lvl>
  </w:abstractNum>
  <w:abstractNum w:abstractNumId="4">
    <w:nsid w:val="11093261"/>
    <w:multiLevelType w:val="hybridMultilevel"/>
    <w:tmpl w:val="C24C5D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10E671C"/>
    <w:multiLevelType w:val="hybridMultilevel"/>
    <w:tmpl w:val="E4C26F00"/>
    <w:lvl w:ilvl="0" w:tplc="04090011">
      <w:start w:val="1"/>
      <w:numFmt w:val="decimal"/>
      <w:lvlText w:val="%1)"/>
      <w:lvlJc w:val="left"/>
      <w:pPr>
        <w:ind w:left="720" w:hanging="360"/>
      </w:pPr>
      <w:rPr>
        <w:rFonts w:hint="default"/>
      </w:rPr>
    </w:lvl>
    <w:lvl w:ilvl="1" w:tplc="B4C0B85E" w:tentative="1">
      <w:start w:val="1"/>
      <w:numFmt w:val="bullet"/>
      <w:lvlText w:val="•"/>
      <w:lvlJc w:val="left"/>
      <w:pPr>
        <w:tabs>
          <w:tab w:val="num" w:pos="1440"/>
        </w:tabs>
        <w:ind w:left="1440" w:hanging="360"/>
      </w:pPr>
      <w:rPr>
        <w:rFonts w:ascii="Arial" w:hAnsi="Arial" w:hint="default"/>
      </w:rPr>
    </w:lvl>
    <w:lvl w:ilvl="2" w:tplc="80EA271C" w:tentative="1">
      <w:start w:val="1"/>
      <w:numFmt w:val="bullet"/>
      <w:lvlText w:val="•"/>
      <w:lvlJc w:val="left"/>
      <w:pPr>
        <w:tabs>
          <w:tab w:val="num" w:pos="2160"/>
        </w:tabs>
        <w:ind w:left="2160" w:hanging="360"/>
      </w:pPr>
      <w:rPr>
        <w:rFonts w:ascii="Arial" w:hAnsi="Arial" w:hint="default"/>
      </w:rPr>
    </w:lvl>
    <w:lvl w:ilvl="3" w:tplc="AA1EC8F6" w:tentative="1">
      <w:start w:val="1"/>
      <w:numFmt w:val="bullet"/>
      <w:lvlText w:val="•"/>
      <w:lvlJc w:val="left"/>
      <w:pPr>
        <w:tabs>
          <w:tab w:val="num" w:pos="2880"/>
        </w:tabs>
        <w:ind w:left="2880" w:hanging="360"/>
      </w:pPr>
      <w:rPr>
        <w:rFonts w:ascii="Arial" w:hAnsi="Arial" w:hint="default"/>
      </w:rPr>
    </w:lvl>
    <w:lvl w:ilvl="4" w:tplc="34F85484" w:tentative="1">
      <w:start w:val="1"/>
      <w:numFmt w:val="bullet"/>
      <w:lvlText w:val="•"/>
      <w:lvlJc w:val="left"/>
      <w:pPr>
        <w:tabs>
          <w:tab w:val="num" w:pos="3600"/>
        </w:tabs>
        <w:ind w:left="3600" w:hanging="360"/>
      </w:pPr>
      <w:rPr>
        <w:rFonts w:ascii="Arial" w:hAnsi="Arial" w:hint="default"/>
      </w:rPr>
    </w:lvl>
    <w:lvl w:ilvl="5" w:tplc="CA48A60E" w:tentative="1">
      <w:start w:val="1"/>
      <w:numFmt w:val="bullet"/>
      <w:lvlText w:val="•"/>
      <w:lvlJc w:val="left"/>
      <w:pPr>
        <w:tabs>
          <w:tab w:val="num" w:pos="4320"/>
        </w:tabs>
        <w:ind w:left="4320" w:hanging="360"/>
      </w:pPr>
      <w:rPr>
        <w:rFonts w:ascii="Arial" w:hAnsi="Arial" w:hint="default"/>
      </w:rPr>
    </w:lvl>
    <w:lvl w:ilvl="6" w:tplc="07849ECE" w:tentative="1">
      <w:start w:val="1"/>
      <w:numFmt w:val="bullet"/>
      <w:lvlText w:val="•"/>
      <w:lvlJc w:val="left"/>
      <w:pPr>
        <w:tabs>
          <w:tab w:val="num" w:pos="5040"/>
        </w:tabs>
        <w:ind w:left="5040" w:hanging="360"/>
      </w:pPr>
      <w:rPr>
        <w:rFonts w:ascii="Arial" w:hAnsi="Arial" w:hint="default"/>
      </w:rPr>
    </w:lvl>
    <w:lvl w:ilvl="7" w:tplc="D72A053E" w:tentative="1">
      <w:start w:val="1"/>
      <w:numFmt w:val="bullet"/>
      <w:lvlText w:val="•"/>
      <w:lvlJc w:val="left"/>
      <w:pPr>
        <w:tabs>
          <w:tab w:val="num" w:pos="5760"/>
        </w:tabs>
        <w:ind w:left="5760" w:hanging="360"/>
      </w:pPr>
      <w:rPr>
        <w:rFonts w:ascii="Arial" w:hAnsi="Arial" w:hint="default"/>
      </w:rPr>
    </w:lvl>
    <w:lvl w:ilvl="8" w:tplc="78444C0A" w:tentative="1">
      <w:start w:val="1"/>
      <w:numFmt w:val="bullet"/>
      <w:lvlText w:val="•"/>
      <w:lvlJc w:val="left"/>
      <w:pPr>
        <w:tabs>
          <w:tab w:val="num" w:pos="6480"/>
        </w:tabs>
        <w:ind w:left="6480" w:hanging="360"/>
      </w:pPr>
      <w:rPr>
        <w:rFonts w:ascii="Arial" w:hAnsi="Arial" w:hint="default"/>
      </w:rPr>
    </w:lvl>
  </w:abstractNum>
  <w:abstractNum w:abstractNumId="6">
    <w:nsid w:val="118E3335"/>
    <w:multiLevelType w:val="multilevel"/>
    <w:tmpl w:val="8CD2F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12C959E5"/>
    <w:multiLevelType w:val="hybridMultilevel"/>
    <w:tmpl w:val="E0A6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61BC5"/>
    <w:multiLevelType w:val="hybridMultilevel"/>
    <w:tmpl w:val="FE267B5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nsid w:val="150F16BC"/>
    <w:multiLevelType w:val="hybridMultilevel"/>
    <w:tmpl w:val="BFC6B0C4"/>
    <w:lvl w:ilvl="0" w:tplc="FA72AD86">
      <w:numFmt w:val="bullet"/>
      <w:lvlText w:val=""/>
      <w:lvlJc w:val="left"/>
      <w:pPr>
        <w:ind w:left="1080" w:hanging="361"/>
      </w:pPr>
      <w:rPr>
        <w:rFonts w:ascii="Symbol" w:eastAsia="Symbol" w:hAnsi="Symbol" w:cs="Symbol" w:hint="default"/>
        <w:w w:val="100"/>
        <w:sz w:val="22"/>
        <w:szCs w:val="22"/>
      </w:rPr>
    </w:lvl>
    <w:lvl w:ilvl="1" w:tplc="87789A90">
      <w:numFmt w:val="bullet"/>
      <w:lvlText w:val="•"/>
      <w:lvlJc w:val="left"/>
      <w:pPr>
        <w:ind w:left="2014" w:hanging="361"/>
      </w:pPr>
      <w:rPr>
        <w:rFonts w:hint="default"/>
      </w:rPr>
    </w:lvl>
    <w:lvl w:ilvl="2" w:tplc="0D0AAF34">
      <w:numFmt w:val="bullet"/>
      <w:lvlText w:val="•"/>
      <w:lvlJc w:val="left"/>
      <w:pPr>
        <w:ind w:left="2949" w:hanging="361"/>
      </w:pPr>
      <w:rPr>
        <w:rFonts w:hint="default"/>
      </w:rPr>
    </w:lvl>
    <w:lvl w:ilvl="3" w:tplc="D854CDB8">
      <w:numFmt w:val="bullet"/>
      <w:lvlText w:val="•"/>
      <w:lvlJc w:val="left"/>
      <w:pPr>
        <w:ind w:left="3883" w:hanging="361"/>
      </w:pPr>
      <w:rPr>
        <w:rFonts w:hint="default"/>
      </w:rPr>
    </w:lvl>
    <w:lvl w:ilvl="4" w:tplc="8E7A4FD4">
      <w:numFmt w:val="bullet"/>
      <w:lvlText w:val="•"/>
      <w:lvlJc w:val="left"/>
      <w:pPr>
        <w:ind w:left="4818" w:hanging="361"/>
      </w:pPr>
      <w:rPr>
        <w:rFonts w:hint="default"/>
      </w:rPr>
    </w:lvl>
    <w:lvl w:ilvl="5" w:tplc="F52C4F46">
      <w:numFmt w:val="bullet"/>
      <w:lvlText w:val="•"/>
      <w:lvlJc w:val="left"/>
      <w:pPr>
        <w:ind w:left="5753" w:hanging="361"/>
      </w:pPr>
      <w:rPr>
        <w:rFonts w:hint="default"/>
      </w:rPr>
    </w:lvl>
    <w:lvl w:ilvl="6" w:tplc="B7363EFE">
      <w:numFmt w:val="bullet"/>
      <w:lvlText w:val="•"/>
      <w:lvlJc w:val="left"/>
      <w:pPr>
        <w:ind w:left="6687" w:hanging="361"/>
      </w:pPr>
      <w:rPr>
        <w:rFonts w:hint="default"/>
      </w:rPr>
    </w:lvl>
    <w:lvl w:ilvl="7" w:tplc="FA4A8774">
      <w:numFmt w:val="bullet"/>
      <w:lvlText w:val="•"/>
      <w:lvlJc w:val="left"/>
      <w:pPr>
        <w:ind w:left="7622" w:hanging="361"/>
      </w:pPr>
      <w:rPr>
        <w:rFonts w:hint="default"/>
      </w:rPr>
    </w:lvl>
    <w:lvl w:ilvl="8" w:tplc="09E872B4">
      <w:numFmt w:val="bullet"/>
      <w:lvlText w:val="•"/>
      <w:lvlJc w:val="left"/>
      <w:pPr>
        <w:ind w:left="8557" w:hanging="361"/>
      </w:pPr>
      <w:rPr>
        <w:rFonts w:hint="default"/>
      </w:rPr>
    </w:lvl>
  </w:abstractNum>
  <w:abstractNum w:abstractNumId="10">
    <w:nsid w:val="1567519D"/>
    <w:multiLevelType w:val="multilevel"/>
    <w:tmpl w:val="852EBE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8826759"/>
    <w:multiLevelType w:val="multilevel"/>
    <w:tmpl w:val="059A3D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190F1192"/>
    <w:multiLevelType w:val="multilevel"/>
    <w:tmpl w:val="953CC5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nsid w:val="197C5F64"/>
    <w:multiLevelType w:val="hybridMultilevel"/>
    <w:tmpl w:val="B1AC968E"/>
    <w:lvl w:ilvl="0" w:tplc="0409001B">
      <w:start w:val="1"/>
      <w:numFmt w:val="lowerRoman"/>
      <w:lvlText w:val="%1."/>
      <w:lvlJc w:val="righ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201B7676"/>
    <w:multiLevelType w:val="hybridMultilevel"/>
    <w:tmpl w:val="C4B61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A82E5B"/>
    <w:multiLevelType w:val="hybridMultilevel"/>
    <w:tmpl w:val="2554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6F3038"/>
    <w:multiLevelType w:val="hybridMultilevel"/>
    <w:tmpl w:val="097A0B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11E13F5"/>
    <w:multiLevelType w:val="multilevel"/>
    <w:tmpl w:val="EA2E79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4310146"/>
    <w:multiLevelType w:val="multilevel"/>
    <w:tmpl w:val="852EBE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8B6E7F"/>
    <w:multiLevelType w:val="hybridMultilevel"/>
    <w:tmpl w:val="A1641C2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nsid w:val="37D22216"/>
    <w:multiLevelType w:val="hybridMultilevel"/>
    <w:tmpl w:val="D90C54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BA905D7"/>
    <w:multiLevelType w:val="hybridMultilevel"/>
    <w:tmpl w:val="5066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D373C3"/>
    <w:multiLevelType w:val="hybridMultilevel"/>
    <w:tmpl w:val="B70CF2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97672ED"/>
    <w:multiLevelType w:val="hybridMultilevel"/>
    <w:tmpl w:val="85A47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F5505A"/>
    <w:multiLevelType w:val="hybridMultilevel"/>
    <w:tmpl w:val="B36E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FA23DA"/>
    <w:multiLevelType w:val="hybridMultilevel"/>
    <w:tmpl w:val="0562B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1E6B33"/>
    <w:multiLevelType w:val="hybridMultilevel"/>
    <w:tmpl w:val="B0C61E46"/>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CB87E81"/>
    <w:multiLevelType w:val="hybridMultilevel"/>
    <w:tmpl w:val="B7E2FE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BD4592"/>
    <w:multiLevelType w:val="multilevel"/>
    <w:tmpl w:val="BA8877C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9">
    <w:nsid w:val="4FC748AA"/>
    <w:multiLevelType w:val="hybridMultilevel"/>
    <w:tmpl w:val="F1F6FB26"/>
    <w:lvl w:ilvl="0" w:tplc="421ED452">
      <w:start w:val="1"/>
      <w:numFmt w:val="decimal"/>
      <w:lvlText w:val="%1."/>
      <w:lvlJc w:val="left"/>
      <w:pPr>
        <w:ind w:left="990" w:hanging="360"/>
      </w:pPr>
      <w:rPr>
        <w:rFonts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520D0C79"/>
    <w:multiLevelType w:val="hybridMultilevel"/>
    <w:tmpl w:val="6270B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24018A9"/>
    <w:multiLevelType w:val="hybridMultilevel"/>
    <w:tmpl w:val="EBB40D9E"/>
    <w:lvl w:ilvl="0" w:tplc="CC2E9A32">
      <w:start w:val="1"/>
      <w:numFmt w:val="lowerRoman"/>
      <w:lvlText w:val="%1."/>
      <w:lvlJc w:val="left"/>
      <w:pPr>
        <w:tabs>
          <w:tab w:val="num" w:pos="720"/>
        </w:tabs>
        <w:ind w:left="720" w:hanging="360"/>
      </w:pPr>
      <w:rPr>
        <w:rFonts w:hint="default"/>
      </w:rPr>
    </w:lvl>
    <w:lvl w:ilvl="1" w:tplc="B4C0B85E" w:tentative="1">
      <w:start w:val="1"/>
      <w:numFmt w:val="bullet"/>
      <w:lvlText w:val="•"/>
      <w:lvlJc w:val="left"/>
      <w:pPr>
        <w:tabs>
          <w:tab w:val="num" w:pos="1440"/>
        </w:tabs>
        <w:ind w:left="1440" w:hanging="360"/>
      </w:pPr>
      <w:rPr>
        <w:rFonts w:ascii="Arial" w:hAnsi="Arial" w:hint="default"/>
      </w:rPr>
    </w:lvl>
    <w:lvl w:ilvl="2" w:tplc="80EA271C" w:tentative="1">
      <w:start w:val="1"/>
      <w:numFmt w:val="bullet"/>
      <w:lvlText w:val="•"/>
      <w:lvlJc w:val="left"/>
      <w:pPr>
        <w:tabs>
          <w:tab w:val="num" w:pos="2160"/>
        </w:tabs>
        <w:ind w:left="2160" w:hanging="360"/>
      </w:pPr>
      <w:rPr>
        <w:rFonts w:ascii="Arial" w:hAnsi="Arial" w:hint="default"/>
      </w:rPr>
    </w:lvl>
    <w:lvl w:ilvl="3" w:tplc="AA1EC8F6" w:tentative="1">
      <w:start w:val="1"/>
      <w:numFmt w:val="bullet"/>
      <w:lvlText w:val="•"/>
      <w:lvlJc w:val="left"/>
      <w:pPr>
        <w:tabs>
          <w:tab w:val="num" w:pos="2880"/>
        </w:tabs>
        <w:ind w:left="2880" w:hanging="360"/>
      </w:pPr>
      <w:rPr>
        <w:rFonts w:ascii="Arial" w:hAnsi="Arial" w:hint="default"/>
      </w:rPr>
    </w:lvl>
    <w:lvl w:ilvl="4" w:tplc="34F85484" w:tentative="1">
      <w:start w:val="1"/>
      <w:numFmt w:val="bullet"/>
      <w:lvlText w:val="•"/>
      <w:lvlJc w:val="left"/>
      <w:pPr>
        <w:tabs>
          <w:tab w:val="num" w:pos="3600"/>
        </w:tabs>
        <w:ind w:left="3600" w:hanging="360"/>
      </w:pPr>
      <w:rPr>
        <w:rFonts w:ascii="Arial" w:hAnsi="Arial" w:hint="default"/>
      </w:rPr>
    </w:lvl>
    <w:lvl w:ilvl="5" w:tplc="CA48A60E" w:tentative="1">
      <w:start w:val="1"/>
      <w:numFmt w:val="bullet"/>
      <w:lvlText w:val="•"/>
      <w:lvlJc w:val="left"/>
      <w:pPr>
        <w:tabs>
          <w:tab w:val="num" w:pos="4320"/>
        </w:tabs>
        <w:ind w:left="4320" w:hanging="360"/>
      </w:pPr>
      <w:rPr>
        <w:rFonts w:ascii="Arial" w:hAnsi="Arial" w:hint="default"/>
      </w:rPr>
    </w:lvl>
    <w:lvl w:ilvl="6" w:tplc="07849ECE" w:tentative="1">
      <w:start w:val="1"/>
      <w:numFmt w:val="bullet"/>
      <w:lvlText w:val="•"/>
      <w:lvlJc w:val="left"/>
      <w:pPr>
        <w:tabs>
          <w:tab w:val="num" w:pos="5040"/>
        </w:tabs>
        <w:ind w:left="5040" w:hanging="360"/>
      </w:pPr>
      <w:rPr>
        <w:rFonts w:ascii="Arial" w:hAnsi="Arial" w:hint="default"/>
      </w:rPr>
    </w:lvl>
    <w:lvl w:ilvl="7" w:tplc="D72A053E" w:tentative="1">
      <w:start w:val="1"/>
      <w:numFmt w:val="bullet"/>
      <w:lvlText w:val="•"/>
      <w:lvlJc w:val="left"/>
      <w:pPr>
        <w:tabs>
          <w:tab w:val="num" w:pos="5760"/>
        </w:tabs>
        <w:ind w:left="5760" w:hanging="360"/>
      </w:pPr>
      <w:rPr>
        <w:rFonts w:ascii="Arial" w:hAnsi="Arial" w:hint="default"/>
      </w:rPr>
    </w:lvl>
    <w:lvl w:ilvl="8" w:tplc="78444C0A" w:tentative="1">
      <w:start w:val="1"/>
      <w:numFmt w:val="bullet"/>
      <w:lvlText w:val="•"/>
      <w:lvlJc w:val="left"/>
      <w:pPr>
        <w:tabs>
          <w:tab w:val="num" w:pos="6480"/>
        </w:tabs>
        <w:ind w:left="6480" w:hanging="360"/>
      </w:pPr>
      <w:rPr>
        <w:rFonts w:ascii="Arial" w:hAnsi="Arial" w:hint="default"/>
      </w:rPr>
    </w:lvl>
  </w:abstractNum>
  <w:abstractNum w:abstractNumId="32">
    <w:nsid w:val="52C63FC1"/>
    <w:multiLevelType w:val="hybridMultilevel"/>
    <w:tmpl w:val="146CB1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7E10A29"/>
    <w:multiLevelType w:val="hybridMultilevel"/>
    <w:tmpl w:val="E0C46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8D19A3"/>
    <w:multiLevelType w:val="hybridMultilevel"/>
    <w:tmpl w:val="AE404AEA"/>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EC20AD4"/>
    <w:multiLevelType w:val="multilevel"/>
    <w:tmpl w:val="21340AE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F0B6FFD"/>
    <w:multiLevelType w:val="multilevel"/>
    <w:tmpl w:val="0F5235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6525CD"/>
    <w:multiLevelType w:val="hybridMultilevel"/>
    <w:tmpl w:val="D4A0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586EFF"/>
    <w:multiLevelType w:val="hybridMultilevel"/>
    <w:tmpl w:val="1D2A3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67A85CB0"/>
    <w:multiLevelType w:val="hybridMultilevel"/>
    <w:tmpl w:val="AF7845FE"/>
    <w:lvl w:ilvl="0" w:tplc="04090011">
      <w:start w:val="1"/>
      <w:numFmt w:val="decimal"/>
      <w:lvlText w:val="%1)"/>
      <w:lvlJc w:val="left"/>
      <w:pPr>
        <w:ind w:left="720" w:hanging="360"/>
      </w:pPr>
      <w:rPr>
        <w:rFonts w:hint="default"/>
      </w:rPr>
    </w:lvl>
    <w:lvl w:ilvl="1" w:tplc="B4C0B85E" w:tentative="1">
      <w:start w:val="1"/>
      <w:numFmt w:val="bullet"/>
      <w:lvlText w:val="•"/>
      <w:lvlJc w:val="left"/>
      <w:pPr>
        <w:tabs>
          <w:tab w:val="num" w:pos="1440"/>
        </w:tabs>
        <w:ind w:left="1440" w:hanging="360"/>
      </w:pPr>
      <w:rPr>
        <w:rFonts w:ascii="Arial" w:hAnsi="Arial" w:hint="default"/>
      </w:rPr>
    </w:lvl>
    <w:lvl w:ilvl="2" w:tplc="80EA271C" w:tentative="1">
      <w:start w:val="1"/>
      <w:numFmt w:val="bullet"/>
      <w:lvlText w:val="•"/>
      <w:lvlJc w:val="left"/>
      <w:pPr>
        <w:tabs>
          <w:tab w:val="num" w:pos="2160"/>
        </w:tabs>
        <w:ind w:left="2160" w:hanging="360"/>
      </w:pPr>
      <w:rPr>
        <w:rFonts w:ascii="Arial" w:hAnsi="Arial" w:hint="default"/>
      </w:rPr>
    </w:lvl>
    <w:lvl w:ilvl="3" w:tplc="AA1EC8F6" w:tentative="1">
      <w:start w:val="1"/>
      <w:numFmt w:val="bullet"/>
      <w:lvlText w:val="•"/>
      <w:lvlJc w:val="left"/>
      <w:pPr>
        <w:tabs>
          <w:tab w:val="num" w:pos="2880"/>
        </w:tabs>
        <w:ind w:left="2880" w:hanging="360"/>
      </w:pPr>
      <w:rPr>
        <w:rFonts w:ascii="Arial" w:hAnsi="Arial" w:hint="default"/>
      </w:rPr>
    </w:lvl>
    <w:lvl w:ilvl="4" w:tplc="34F85484" w:tentative="1">
      <w:start w:val="1"/>
      <w:numFmt w:val="bullet"/>
      <w:lvlText w:val="•"/>
      <w:lvlJc w:val="left"/>
      <w:pPr>
        <w:tabs>
          <w:tab w:val="num" w:pos="3600"/>
        </w:tabs>
        <w:ind w:left="3600" w:hanging="360"/>
      </w:pPr>
      <w:rPr>
        <w:rFonts w:ascii="Arial" w:hAnsi="Arial" w:hint="default"/>
      </w:rPr>
    </w:lvl>
    <w:lvl w:ilvl="5" w:tplc="CA48A60E" w:tentative="1">
      <w:start w:val="1"/>
      <w:numFmt w:val="bullet"/>
      <w:lvlText w:val="•"/>
      <w:lvlJc w:val="left"/>
      <w:pPr>
        <w:tabs>
          <w:tab w:val="num" w:pos="4320"/>
        </w:tabs>
        <w:ind w:left="4320" w:hanging="360"/>
      </w:pPr>
      <w:rPr>
        <w:rFonts w:ascii="Arial" w:hAnsi="Arial" w:hint="default"/>
      </w:rPr>
    </w:lvl>
    <w:lvl w:ilvl="6" w:tplc="07849ECE" w:tentative="1">
      <w:start w:val="1"/>
      <w:numFmt w:val="bullet"/>
      <w:lvlText w:val="•"/>
      <w:lvlJc w:val="left"/>
      <w:pPr>
        <w:tabs>
          <w:tab w:val="num" w:pos="5040"/>
        </w:tabs>
        <w:ind w:left="5040" w:hanging="360"/>
      </w:pPr>
      <w:rPr>
        <w:rFonts w:ascii="Arial" w:hAnsi="Arial" w:hint="default"/>
      </w:rPr>
    </w:lvl>
    <w:lvl w:ilvl="7" w:tplc="D72A053E" w:tentative="1">
      <w:start w:val="1"/>
      <w:numFmt w:val="bullet"/>
      <w:lvlText w:val="•"/>
      <w:lvlJc w:val="left"/>
      <w:pPr>
        <w:tabs>
          <w:tab w:val="num" w:pos="5760"/>
        </w:tabs>
        <w:ind w:left="5760" w:hanging="360"/>
      </w:pPr>
      <w:rPr>
        <w:rFonts w:ascii="Arial" w:hAnsi="Arial" w:hint="default"/>
      </w:rPr>
    </w:lvl>
    <w:lvl w:ilvl="8" w:tplc="78444C0A" w:tentative="1">
      <w:start w:val="1"/>
      <w:numFmt w:val="bullet"/>
      <w:lvlText w:val="•"/>
      <w:lvlJc w:val="left"/>
      <w:pPr>
        <w:tabs>
          <w:tab w:val="num" w:pos="6480"/>
        </w:tabs>
        <w:ind w:left="6480" w:hanging="360"/>
      </w:pPr>
      <w:rPr>
        <w:rFonts w:ascii="Arial" w:hAnsi="Arial" w:hint="default"/>
      </w:rPr>
    </w:lvl>
  </w:abstractNum>
  <w:abstractNum w:abstractNumId="40">
    <w:nsid w:val="6D7318A7"/>
    <w:multiLevelType w:val="hybridMultilevel"/>
    <w:tmpl w:val="549E933E"/>
    <w:lvl w:ilvl="0" w:tplc="5BD2E5C0">
      <w:start w:val="1"/>
      <w:numFmt w:val="bullet"/>
      <w:pStyle w:val="Bullet2"/>
      <w:lvlText w:val="–"/>
      <w:lvlJc w:val="left"/>
      <w:pPr>
        <w:tabs>
          <w:tab w:val="num" w:pos="794"/>
        </w:tabs>
        <w:ind w:left="794" w:hanging="397"/>
      </w:pPr>
      <w:rPr>
        <w:rFonts w:ascii="Book Antiqua" w:hAnsi="Book Antiqua" w:hint="default"/>
        <w:b w:val="0"/>
        <w:i w:val="0"/>
        <w:color w:val="000000"/>
        <w:sz w:val="22"/>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nsid w:val="72DB7AB0"/>
    <w:multiLevelType w:val="hybridMultilevel"/>
    <w:tmpl w:val="2A86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7B6BD3"/>
    <w:multiLevelType w:val="hybridMultilevel"/>
    <w:tmpl w:val="06E4C8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nsid w:val="78DE2CD1"/>
    <w:multiLevelType w:val="hybridMultilevel"/>
    <w:tmpl w:val="0960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30"/>
  </w:num>
  <w:num w:numId="3">
    <w:abstractNumId w:val="12"/>
  </w:num>
  <w:num w:numId="4">
    <w:abstractNumId w:val="6"/>
  </w:num>
  <w:num w:numId="5">
    <w:abstractNumId w:val="11"/>
  </w:num>
  <w:num w:numId="6">
    <w:abstractNumId w:val="19"/>
  </w:num>
  <w:num w:numId="7">
    <w:abstractNumId w:val="8"/>
  </w:num>
  <w:num w:numId="8">
    <w:abstractNumId w:val="29"/>
  </w:num>
  <w:num w:numId="9">
    <w:abstractNumId w:val="2"/>
  </w:num>
  <w:num w:numId="10">
    <w:abstractNumId w:val="20"/>
  </w:num>
  <w:num w:numId="11">
    <w:abstractNumId w:val="9"/>
  </w:num>
  <w:num w:numId="12">
    <w:abstractNumId w:val="34"/>
  </w:num>
  <w:num w:numId="13">
    <w:abstractNumId w:val="28"/>
  </w:num>
  <w:num w:numId="14">
    <w:abstractNumId w:val="25"/>
  </w:num>
  <w:num w:numId="15">
    <w:abstractNumId w:val="13"/>
  </w:num>
  <w:num w:numId="16">
    <w:abstractNumId w:val="26"/>
  </w:num>
  <w:num w:numId="17">
    <w:abstractNumId w:val="4"/>
  </w:num>
  <w:num w:numId="18">
    <w:abstractNumId w:val="40"/>
  </w:num>
  <w:num w:numId="19">
    <w:abstractNumId w:val="35"/>
  </w:num>
  <w:num w:numId="20">
    <w:abstractNumId w:val="42"/>
  </w:num>
  <w:num w:numId="21">
    <w:abstractNumId w:val="1"/>
  </w:num>
  <w:num w:numId="22">
    <w:abstractNumId w:val="22"/>
  </w:num>
  <w:num w:numId="23">
    <w:abstractNumId w:val="3"/>
  </w:num>
  <w:num w:numId="24">
    <w:abstractNumId w:val="32"/>
  </w:num>
  <w:num w:numId="25">
    <w:abstractNumId w:val="16"/>
  </w:num>
  <w:num w:numId="26">
    <w:abstractNumId w:val="43"/>
  </w:num>
  <w:num w:numId="27">
    <w:abstractNumId w:val="21"/>
  </w:num>
  <w:num w:numId="28">
    <w:abstractNumId w:val="24"/>
  </w:num>
  <w:num w:numId="29">
    <w:abstractNumId w:val="15"/>
  </w:num>
  <w:num w:numId="30">
    <w:abstractNumId w:val="23"/>
  </w:num>
  <w:num w:numId="31">
    <w:abstractNumId w:val="7"/>
  </w:num>
  <w:num w:numId="32">
    <w:abstractNumId w:val="33"/>
  </w:num>
  <w:num w:numId="33">
    <w:abstractNumId w:val="41"/>
  </w:num>
  <w:num w:numId="34">
    <w:abstractNumId w:val="14"/>
  </w:num>
  <w:num w:numId="35">
    <w:abstractNumId w:val="37"/>
  </w:num>
  <w:num w:numId="36">
    <w:abstractNumId w:val="39"/>
  </w:num>
  <w:num w:numId="37">
    <w:abstractNumId w:val="17"/>
  </w:num>
  <w:num w:numId="38">
    <w:abstractNumId w:val="31"/>
  </w:num>
  <w:num w:numId="39">
    <w:abstractNumId w:val="0"/>
  </w:num>
  <w:num w:numId="40">
    <w:abstractNumId w:val="36"/>
  </w:num>
  <w:num w:numId="41">
    <w:abstractNumId w:val="10"/>
  </w:num>
  <w:num w:numId="42">
    <w:abstractNumId w:val="5"/>
  </w:num>
  <w:num w:numId="43">
    <w:abstractNumId w:val="18"/>
  </w:num>
  <w:num w:numId="4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2ED6"/>
    <w:rsid w:val="000035A9"/>
    <w:rsid w:val="00005284"/>
    <w:rsid w:val="00005D05"/>
    <w:rsid w:val="000103B4"/>
    <w:rsid w:val="00011807"/>
    <w:rsid w:val="00011FAC"/>
    <w:rsid w:val="00015D4A"/>
    <w:rsid w:val="00021180"/>
    <w:rsid w:val="000212BC"/>
    <w:rsid w:val="00021611"/>
    <w:rsid w:val="00026D27"/>
    <w:rsid w:val="00030B8E"/>
    <w:rsid w:val="00031817"/>
    <w:rsid w:val="00031F1D"/>
    <w:rsid w:val="000330E5"/>
    <w:rsid w:val="0003382C"/>
    <w:rsid w:val="000357A1"/>
    <w:rsid w:val="00037A37"/>
    <w:rsid w:val="00042318"/>
    <w:rsid w:val="0004524D"/>
    <w:rsid w:val="00045B81"/>
    <w:rsid w:val="0004739D"/>
    <w:rsid w:val="00047842"/>
    <w:rsid w:val="00051326"/>
    <w:rsid w:val="000517AC"/>
    <w:rsid w:val="000519BA"/>
    <w:rsid w:val="00053881"/>
    <w:rsid w:val="00053FDA"/>
    <w:rsid w:val="000540C1"/>
    <w:rsid w:val="00056114"/>
    <w:rsid w:val="000567EB"/>
    <w:rsid w:val="0005758A"/>
    <w:rsid w:val="00057746"/>
    <w:rsid w:val="000609B3"/>
    <w:rsid w:val="000621A4"/>
    <w:rsid w:val="000622A3"/>
    <w:rsid w:val="0006351E"/>
    <w:rsid w:val="00063FDB"/>
    <w:rsid w:val="000646B3"/>
    <w:rsid w:val="0006521D"/>
    <w:rsid w:val="00065A23"/>
    <w:rsid w:val="00070C77"/>
    <w:rsid w:val="0007106D"/>
    <w:rsid w:val="0007190E"/>
    <w:rsid w:val="00072074"/>
    <w:rsid w:val="000726F6"/>
    <w:rsid w:val="00073F23"/>
    <w:rsid w:val="0007551E"/>
    <w:rsid w:val="00075B2E"/>
    <w:rsid w:val="00076D30"/>
    <w:rsid w:val="00080A86"/>
    <w:rsid w:val="00080E73"/>
    <w:rsid w:val="0008102B"/>
    <w:rsid w:val="00081EEF"/>
    <w:rsid w:val="00082514"/>
    <w:rsid w:val="0008321C"/>
    <w:rsid w:val="00085516"/>
    <w:rsid w:val="0008603A"/>
    <w:rsid w:val="000865E3"/>
    <w:rsid w:val="00090851"/>
    <w:rsid w:val="00091380"/>
    <w:rsid w:val="00091DC6"/>
    <w:rsid w:val="000936DF"/>
    <w:rsid w:val="000940E0"/>
    <w:rsid w:val="00094D2B"/>
    <w:rsid w:val="0009537E"/>
    <w:rsid w:val="0009623B"/>
    <w:rsid w:val="000964EF"/>
    <w:rsid w:val="000A1838"/>
    <w:rsid w:val="000A22B2"/>
    <w:rsid w:val="000A3107"/>
    <w:rsid w:val="000A4CC5"/>
    <w:rsid w:val="000A6500"/>
    <w:rsid w:val="000A707F"/>
    <w:rsid w:val="000A7305"/>
    <w:rsid w:val="000A7661"/>
    <w:rsid w:val="000B07B4"/>
    <w:rsid w:val="000B22EA"/>
    <w:rsid w:val="000B2BA4"/>
    <w:rsid w:val="000B3376"/>
    <w:rsid w:val="000B683B"/>
    <w:rsid w:val="000C441F"/>
    <w:rsid w:val="000C617B"/>
    <w:rsid w:val="000C6336"/>
    <w:rsid w:val="000C6DAC"/>
    <w:rsid w:val="000D032C"/>
    <w:rsid w:val="000D28B0"/>
    <w:rsid w:val="000D3BD5"/>
    <w:rsid w:val="000D4B86"/>
    <w:rsid w:val="000D4F05"/>
    <w:rsid w:val="000D5B11"/>
    <w:rsid w:val="000D631C"/>
    <w:rsid w:val="000D70E9"/>
    <w:rsid w:val="000E0FE6"/>
    <w:rsid w:val="000E1250"/>
    <w:rsid w:val="000E19CD"/>
    <w:rsid w:val="000E31D2"/>
    <w:rsid w:val="000E4F28"/>
    <w:rsid w:val="000E5212"/>
    <w:rsid w:val="000E6630"/>
    <w:rsid w:val="000E6C33"/>
    <w:rsid w:val="000F0A55"/>
    <w:rsid w:val="000F17EA"/>
    <w:rsid w:val="000F34F6"/>
    <w:rsid w:val="000F5EF1"/>
    <w:rsid w:val="000F5FFC"/>
    <w:rsid w:val="000F6382"/>
    <w:rsid w:val="000F73D5"/>
    <w:rsid w:val="000F7C44"/>
    <w:rsid w:val="001047D4"/>
    <w:rsid w:val="0010524D"/>
    <w:rsid w:val="0010585B"/>
    <w:rsid w:val="00106D4E"/>
    <w:rsid w:val="0010770D"/>
    <w:rsid w:val="001144AE"/>
    <w:rsid w:val="00114B13"/>
    <w:rsid w:val="00114F0E"/>
    <w:rsid w:val="001214F0"/>
    <w:rsid w:val="001218CE"/>
    <w:rsid w:val="0012352C"/>
    <w:rsid w:val="00123B04"/>
    <w:rsid w:val="00124E49"/>
    <w:rsid w:val="00125C16"/>
    <w:rsid w:val="00126767"/>
    <w:rsid w:val="00126794"/>
    <w:rsid w:val="00126D12"/>
    <w:rsid w:val="0013396A"/>
    <w:rsid w:val="00134352"/>
    <w:rsid w:val="001478F5"/>
    <w:rsid w:val="00147EC4"/>
    <w:rsid w:val="00150E8C"/>
    <w:rsid w:val="00151058"/>
    <w:rsid w:val="00151DDC"/>
    <w:rsid w:val="00152E28"/>
    <w:rsid w:val="00153DA0"/>
    <w:rsid w:val="00154857"/>
    <w:rsid w:val="001549B8"/>
    <w:rsid w:val="0015680F"/>
    <w:rsid w:val="0015752E"/>
    <w:rsid w:val="00157C7C"/>
    <w:rsid w:val="00164167"/>
    <w:rsid w:val="001645ED"/>
    <w:rsid w:val="001660FA"/>
    <w:rsid w:val="00166728"/>
    <w:rsid w:val="00166CD2"/>
    <w:rsid w:val="00166F39"/>
    <w:rsid w:val="00170ADA"/>
    <w:rsid w:val="00172B5F"/>
    <w:rsid w:val="00173C3D"/>
    <w:rsid w:val="00173D70"/>
    <w:rsid w:val="00174414"/>
    <w:rsid w:val="001746BD"/>
    <w:rsid w:val="00175CFD"/>
    <w:rsid w:val="001775FD"/>
    <w:rsid w:val="0018074E"/>
    <w:rsid w:val="001815CA"/>
    <w:rsid w:val="00181925"/>
    <w:rsid w:val="001832A7"/>
    <w:rsid w:val="00192CD9"/>
    <w:rsid w:val="00193125"/>
    <w:rsid w:val="0019451E"/>
    <w:rsid w:val="001953BC"/>
    <w:rsid w:val="00195526"/>
    <w:rsid w:val="001A068D"/>
    <w:rsid w:val="001A0F5F"/>
    <w:rsid w:val="001A18B9"/>
    <w:rsid w:val="001A2492"/>
    <w:rsid w:val="001B0AEB"/>
    <w:rsid w:val="001B1D81"/>
    <w:rsid w:val="001B2385"/>
    <w:rsid w:val="001B2A2A"/>
    <w:rsid w:val="001B45FD"/>
    <w:rsid w:val="001B53A5"/>
    <w:rsid w:val="001B5921"/>
    <w:rsid w:val="001B595B"/>
    <w:rsid w:val="001B6538"/>
    <w:rsid w:val="001B7C91"/>
    <w:rsid w:val="001C034B"/>
    <w:rsid w:val="001C1778"/>
    <w:rsid w:val="001C26B3"/>
    <w:rsid w:val="001C37CE"/>
    <w:rsid w:val="001C38F8"/>
    <w:rsid w:val="001C3952"/>
    <w:rsid w:val="001C3B08"/>
    <w:rsid w:val="001C7B45"/>
    <w:rsid w:val="001D14F0"/>
    <w:rsid w:val="001D4C9F"/>
    <w:rsid w:val="001E0632"/>
    <w:rsid w:val="001E0837"/>
    <w:rsid w:val="001E1B13"/>
    <w:rsid w:val="001E2B4E"/>
    <w:rsid w:val="001E2C1A"/>
    <w:rsid w:val="001E2E4F"/>
    <w:rsid w:val="001E46F5"/>
    <w:rsid w:val="001E4A38"/>
    <w:rsid w:val="001E51A1"/>
    <w:rsid w:val="001F09F8"/>
    <w:rsid w:val="001F0E28"/>
    <w:rsid w:val="001F1D88"/>
    <w:rsid w:val="001F3354"/>
    <w:rsid w:val="001F3AB8"/>
    <w:rsid w:val="001F44B3"/>
    <w:rsid w:val="001F5504"/>
    <w:rsid w:val="001F56B9"/>
    <w:rsid w:val="001F577A"/>
    <w:rsid w:val="001F5BDB"/>
    <w:rsid w:val="001F6C62"/>
    <w:rsid w:val="001F7017"/>
    <w:rsid w:val="002007E7"/>
    <w:rsid w:val="00201A5B"/>
    <w:rsid w:val="0020438A"/>
    <w:rsid w:val="00206886"/>
    <w:rsid w:val="00210F11"/>
    <w:rsid w:val="00211607"/>
    <w:rsid w:val="002118A9"/>
    <w:rsid w:val="002122F7"/>
    <w:rsid w:val="0021434F"/>
    <w:rsid w:val="00215B90"/>
    <w:rsid w:val="00216C73"/>
    <w:rsid w:val="00217F01"/>
    <w:rsid w:val="00220CD8"/>
    <w:rsid w:val="00220E92"/>
    <w:rsid w:val="00221229"/>
    <w:rsid w:val="0022338A"/>
    <w:rsid w:val="00223E04"/>
    <w:rsid w:val="00223F11"/>
    <w:rsid w:val="00226E91"/>
    <w:rsid w:val="0022780C"/>
    <w:rsid w:val="0023191B"/>
    <w:rsid w:val="002321FA"/>
    <w:rsid w:val="00232B56"/>
    <w:rsid w:val="0023352A"/>
    <w:rsid w:val="00233644"/>
    <w:rsid w:val="002368E7"/>
    <w:rsid w:val="00237236"/>
    <w:rsid w:val="00240269"/>
    <w:rsid w:val="00241C46"/>
    <w:rsid w:val="00242559"/>
    <w:rsid w:val="00243417"/>
    <w:rsid w:val="002439E1"/>
    <w:rsid w:val="00243C61"/>
    <w:rsid w:val="00244210"/>
    <w:rsid w:val="00247BDD"/>
    <w:rsid w:val="00247F1B"/>
    <w:rsid w:val="00250114"/>
    <w:rsid w:val="00251BFF"/>
    <w:rsid w:val="00255278"/>
    <w:rsid w:val="002564F0"/>
    <w:rsid w:val="00257D05"/>
    <w:rsid w:val="00260F9A"/>
    <w:rsid w:val="00262450"/>
    <w:rsid w:val="00262AEA"/>
    <w:rsid w:val="00265C4C"/>
    <w:rsid w:val="00266110"/>
    <w:rsid w:val="002677B3"/>
    <w:rsid w:val="00267FE6"/>
    <w:rsid w:val="00270270"/>
    <w:rsid w:val="00271058"/>
    <w:rsid w:val="00271E93"/>
    <w:rsid w:val="0027335F"/>
    <w:rsid w:val="00274684"/>
    <w:rsid w:val="00274FBF"/>
    <w:rsid w:val="00274FF1"/>
    <w:rsid w:val="00275836"/>
    <w:rsid w:val="0027646C"/>
    <w:rsid w:val="00276BC2"/>
    <w:rsid w:val="00281C02"/>
    <w:rsid w:val="00283F3D"/>
    <w:rsid w:val="002840E5"/>
    <w:rsid w:val="0028447C"/>
    <w:rsid w:val="002849E3"/>
    <w:rsid w:val="00286272"/>
    <w:rsid w:val="00286473"/>
    <w:rsid w:val="00287C2C"/>
    <w:rsid w:val="00290DA3"/>
    <w:rsid w:val="002916EE"/>
    <w:rsid w:val="002958F8"/>
    <w:rsid w:val="002A0B3B"/>
    <w:rsid w:val="002A1146"/>
    <w:rsid w:val="002A22F9"/>
    <w:rsid w:val="002A3962"/>
    <w:rsid w:val="002A4128"/>
    <w:rsid w:val="002A490A"/>
    <w:rsid w:val="002A5D02"/>
    <w:rsid w:val="002A6F1B"/>
    <w:rsid w:val="002B0209"/>
    <w:rsid w:val="002B3F0A"/>
    <w:rsid w:val="002B4367"/>
    <w:rsid w:val="002B4B36"/>
    <w:rsid w:val="002B54EC"/>
    <w:rsid w:val="002B643D"/>
    <w:rsid w:val="002B6ECD"/>
    <w:rsid w:val="002C18C1"/>
    <w:rsid w:val="002C24B4"/>
    <w:rsid w:val="002C2AD0"/>
    <w:rsid w:val="002C32BC"/>
    <w:rsid w:val="002C476F"/>
    <w:rsid w:val="002C47A5"/>
    <w:rsid w:val="002C5CEB"/>
    <w:rsid w:val="002C7BE6"/>
    <w:rsid w:val="002D04EA"/>
    <w:rsid w:val="002D1E4D"/>
    <w:rsid w:val="002D2D4E"/>
    <w:rsid w:val="002D3577"/>
    <w:rsid w:val="002D4A80"/>
    <w:rsid w:val="002D5932"/>
    <w:rsid w:val="002D7683"/>
    <w:rsid w:val="002D7F31"/>
    <w:rsid w:val="002F1038"/>
    <w:rsid w:val="002F15C4"/>
    <w:rsid w:val="002F24BA"/>
    <w:rsid w:val="002F267B"/>
    <w:rsid w:val="002F295C"/>
    <w:rsid w:val="002F3250"/>
    <w:rsid w:val="002F3C26"/>
    <w:rsid w:val="00301D81"/>
    <w:rsid w:val="003037E5"/>
    <w:rsid w:val="00303F03"/>
    <w:rsid w:val="00305232"/>
    <w:rsid w:val="00313342"/>
    <w:rsid w:val="003143A3"/>
    <w:rsid w:val="003160F4"/>
    <w:rsid w:val="00320BF8"/>
    <w:rsid w:val="00321839"/>
    <w:rsid w:val="00321B6E"/>
    <w:rsid w:val="00322E65"/>
    <w:rsid w:val="003255F8"/>
    <w:rsid w:val="003261C0"/>
    <w:rsid w:val="003262C1"/>
    <w:rsid w:val="003307C6"/>
    <w:rsid w:val="003318EA"/>
    <w:rsid w:val="00331EB0"/>
    <w:rsid w:val="003321CF"/>
    <w:rsid w:val="00332BCA"/>
    <w:rsid w:val="00332BF4"/>
    <w:rsid w:val="00333DE1"/>
    <w:rsid w:val="00334E44"/>
    <w:rsid w:val="003363FD"/>
    <w:rsid w:val="00341068"/>
    <w:rsid w:val="00341DFC"/>
    <w:rsid w:val="003437FC"/>
    <w:rsid w:val="00343B05"/>
    <w:rsid w:val="0034453B"/>
    <w:rsid w:val="00345E46"/>
    <w:rsid w:val="00345F42"/>
    <w:rsid w:val="00347141"/>
    <w:rsid w:val="00347D57"/>
    <w:rsid w:val="00352346"/>
    <w:rsid w:val="003524DF"/>
    <w:rsid w:val="00352844"/>
    <w:rsid w:val="00361D92"/>
    <w:rsid w:val="00362BE8"/>
    <w:rsid w:val="00363999"/>
    <w:rsid w:val="00363B5A"/>
    <w:rsid w:val="003647B9"/>
    <w:rsid w:val="003662CB"/>
    <w:rsid w:val="00367232"/>
    <w:rsid w:val="0037101B"/>
    <w:rsid w:val="0037231D"/>
    <w:rsid w:val="00373184"/>
    <w:rsid w:val="00373585"/>
    <w:rsid w:val="0037460D"/>
    <w:rsid w:val="00375E1E"/>
    <w:rsid w:val="003762CC"/>
    <w:rsid w:val="003766DF"/>
    <w:rsid w:val="0038100A"/>
    <w:rsid w:val="0038248A"/>
    <w:rsid w:val="00383384"/>
    <w:rsid w:val="00384391"/>
    <w:rsid w:val="003848C6"/>
    <w:rsid w:val="00391C32"/>
    <w:rsid w:val="003931F0"/>
    <w:rsid w:val="003936A2"/>
    <w:rsid w:val="00393D62"/>
    <w:rsid w:val="003977B0"/>
    <w:rsid w:val="003A18F3"/>
    <w:rsid w:val="003A3879"/>
    <w:rsid w:val="003A5785"/>
    <w:rsid w:val="003A6E10"/>
    <w:rsid w:val="003A7A3E"/>
    <w:rsid w:val="003B0C3B"/>
    <w:rsid w:val="003B1214"/>
    <w:rsid w:val="003B33B9"/>
    <w:rsid w:val="003B465A"/>
    <w:rsid w:val="003B4821"/>
    <w:rsid w:val="003B603E"/>
    <w:rsid w:val="003C1B8C"/>
    <w:rsid w:val="003C2506"/>
    <w:rsid w:val="003C38DF"/>
    <w:rsid w:val="003C411A"/>
    <w:rsid w:val="003C48A9"/>
    <w:rsid w:val="003C50F4"/>
    <w:rsid w:val="003C6628"/>
    <w:rsid w:val="003D00DA"/>
    <w:rsid w:val="003D0494"/>
    <w:rsid w:val="003D0776"/>
    <w:rsid w:val="003D33A9"/>
    <w:rsid w:val="003D35A8"/>
    <w:rsid w:val="003D474C"/>
    <w:rsid w:val="003D594F"/>
    <w:rsid w:val="003E1AA7"/>
    <w:rsid w:val="003E5359"/>
    <w:rsid w:val="003E5EE4"/>
    <w:rsid w:val="003E661C"/>
    <w:rsid w:val="003E672C"/>
    <w:rsid w:val="003E6DF0"/>
    <w:rsid w:val="003E7149"/>
    <w:rsid w:val="003F0C4F"/>
    <w:rsid w:val="003F13A5"/>
    <w:rsid w:val="003F18D4"/>
    <w:rsid w:val="003F1F6A"/>
    <w:rsid w:val="003F782D"/>
    <w:rsid w:val="003F7931"/>
    <w:rsid w:val="004037B6"/>
    <w:rsid w:val="00403B84"/>
    <w:rsid w:val="0040421F"/>
    <w:rsid w:val="00405361"/>
    <w:rsid w:val="004125E0"/>
    <w:rsid w:val="00412625"/>
    <w:rsid w:val="00413521"/>
    <w:rsid w:val="00414604"/>
    <w:rsid w:val="004147C8"/>
    <w:rsid w:val="00414945"/>
    <w:rsid w:val="0041594F"/>
    <w:rsid w:val="00415E07"/>
    <w:rsid w:val="004217F5"/>
    <w:rsid w:val="00422252"/>
    <w:rsid w:val="00422451"/>
    <w:rsid w:val="004243AA"/>
    <w:rsid w:val="00424479"/>
    <w:rsid w:val="00424E69"/>
    <w:rsid w:val="0042627B"/>
    <w:rsid w:val="00426994"/>
    <w:rsid w:val="00426C42"/>
    <w:rsid w:val="00430812"/>
    <w:rsid w:val="00430C1C"/>
    <w:rsid w:val="00434873"/>
    <w:rsid w:val="004353BB"/>
    <w:rsid w:val="00436C80"/>
    <w:rsid w:val="00440011"/>
    <w:rsid w:val="0044045F"/>
    <w:rsid w:val="004438C0"/>
    <w:rsid w:val="00453276"/>
    <w:rsid w:val="00453543"/>
    <w:rsid w:val="00454C6C"/>
    <w:rsid w:val="00454C87"/>
    <w:rsid w:val="00457E6A"/>
    <w:rsid w:val="00461CDE"/>
    <w:rsid w:val="0046295B"/>
    <w:rsid w:val="004657B5"/>
    <w:rsid w:val="00466425"/>
    <w:rsid w:val="0047039F"/>
    <w:rsid w:val="00470AAA"/>
    <w:rsid w:val="00471432"/>
    <w:rsid w:val="004719D7"/>
    <w:rsid w:val="004750C7"/>
    <w:rsid w:val="0047652F"/>
    <w:rsid w:val="00477E46"/>
    <w:rsid w:val="004805A7"/>
    <w:rsid w:val="0048109E"/>
    <w:rsid w:val="00482DD7"/>
    <w:rsid w:val="00483A00"/>
    <w:rsid w:val="00483B3A"/>
    <w:rsid w:val="00487AA0"/>
    <w:rsid w:val="00490AA2"/>
    <w:rsid w:val="004918B2"/>
    <w:rsid w:val="00491F8D"/>
    <w:rsid w:val="00492385"/>
    <w:rsid w:val="0049356C"/>
    <w:rsid w:val="00496AC7"/>
    <w:rsid w:val="004A1C60"/>
    <w:rsid w:val="004A2696"/>
    <w:rsid w:val="004A2B7E"/>
    <w:rsid w:val="004A575F"/>
    <w:rsid w:val="004A6502"/>
    <w:rsid w:val="004A7EFC"/>
    <w:rsid w:val="004B1395"/>
    <w:rsid w:val="004B32E7"/>
    <w:rsid w:val="004B3EA8"/>
    <w:rsid w:val="004B441F"/>
    <w:rsid w:val="004B5D52"/>
    <w:rsid w:val="004B65C3"/>
    <w:rsid w:val="004B716B"/>
    <w:rsid w:val="004B78B6"/>
    <w:rsid w:val="004C0432"/>
    <w:rsid w:val="004C3CA8"/>
    <w:rsid w:val="004C49BF"/>
    <w:rsid w:val="004C5D38"/>
    <w:rsid w:val="004C6946"/>
    <w:rsid w:val="004C6EAB"/>
    <w:rsid w:val="004D3C8F"/>
    <w:rsid w:val="004D3DA7"/>
    <w:rsid w:val="004D43AC"/>
    <w:rsid w:val="004D57E5"/>
    <w:rsid w:val="004D6C35"/>
    <w:rsid w:val="004E05DF"/>
    <w:rsid w:val="004E0DBC"/>
    <w:rsid w:val="004E1821"/>
    <w:rsid w:val="004E1B5C"/>
    <w:rsid w:val="004E426A"/>
    <w:rsid w:val="004E4609"/>
    <w:rsid w:val="004E480B"/>
    <w:rsid w:val="004E4A10"/>
    <w:rsid w:val="004E4A66"/>
    <w:rsid w:val="004E4B10"/>
    <w:rsid w:val="004F446A"/>
    <w:rsid w:val="004F47DB"/>
    <w:rsid w:val="004F4931"/>
    <w:rsid w:val="004F5AD1"/>
    <w:rsid w:val="004F7D8A"/>
    <w:rsid w:val="00503696"/>
    <w:rsid w:val="0050422B"/>
    <w:rsid w:val="005049FD"/>
    <w:rsid w:val="0050591B"/>
    <w:rsid w:val="00505C4C"/>
    <w:rsid w:val="00515241"/>
    <w:rsid w:val="00516E7B"/>
    <w:rsid w:val="005227FB"/>
    <w:rsid w:val="00523403"/>
    <w:rsid w:val="005258D2"/>
    <w:rsid w:val="00530F48"/>
    <w:rsid w:val="00533B65"/>
    <w:rsid w:val="00533E72"/>
    <w:rsid w:val="00534DFF"/>
    <w:rsid w:val="005350AD"/>
    <w:rsid w:val="00536499"/>
    <w:rsid w:val="00536AED"/>
    <w:rsid w:val="00542EFF"/>
    <w:rsid w:val="00544620"/>
    <w:rsid w:val="00545E96"/>
    <w:rsid w:val="00547E41"/>
    <w:rsid w:val="00551A4B"/>
    <w:rsid w:val="00551EED"/>
    <w:rsid w:val="005520BE"/>
    <w:rsid w:val="00552611"/>
    <w:rsid w:val="00552A13"/>
    <w:rsid w:val="00552DE0"/>
    <w:rsid w:val="00554C75"/>
    <w:rsid w:val="00556CF2"/>
    <w:rsid w:val="005572E8"/>
    <w:rsid w:val="00557589"/>
    <w:rsid w:val="0055774C"/>
    <w:rsid w:val="00560443"/>
    <w:rsid w:val="005606F8"/>
    <w:rsid w:val="00560E73"/>
    <w:rsid w:val="00564AEE"/>
    <w:rsid w:val="00565929"/>
    <w:rsid w:val="00565D1B"/>
    <w:rsid w:val="00567814"/>
    <w:rsid w:val="00572C64"/>
    <w:rsid w:val="00573F2B"/>
    <w:rsid w:val="00573F62"/>
    <w:rsid w:val="0057642F"/>
    <w:rsid w:val="00576E43"/>
    <w:rsid w:val="00581A40"/>
    <w:rsid w:val="00583853"/>
    <w:rsid w:val="0058569B"/>
    <w:rsid w:val="0058665E"/>
    <w:rsid w:val="00587D82"/>
    <w:rsid w:val="00592DBE"/>
    <w:rsid w:val="00593BFB"/>
    <w:rsid w:val="0059425F"/>
    <w:rsid w:val="0059507E"/>
    <w:rsid w:val="00595A3D"/>
    <w:rsid w:val="005968DB"/>
    <w:rsid w:val="005A1E01"/>
    <w:rsid w:val="005A1F5D"/>
    <w:rsid w:val="005A32B9"/>
    <w:rsid w:val="005A496B"/>
    <w:rsid w:val="005A497C"/>
    <w:rsid w:val="005A4E0C"/>
    <w:rsid w:val="005A6E4E"/>
    <w:rsid w:val="005B05E5"/>
    <w:rsid w:val="005B1460"/>
    <w:rsid w:val="005B2093"/>
    <w:rsid w:val="005B3299"/>
    <w:rsid w:val="005B46C8"/>
    <w:rsid w:val="005B781B"/>
    <w:rsid w:val="005C00F0"/>
    <w:rsid w:val="005C07C8"/>
    <w:rsid w:val="005C0EA0"/>
    <w:rsid w:val="005C32C7"/>
    <w:rsid w:val="005C7112"/>
    <w:rsid w:val="005C748A"/>
    <w:rsid w:val="005C7BFC"/>
    <w:rsid w:val="005D0A39"/>
    <w:rsid w:val="005D2ADF"/>
    <w:rsid w:val="005D3DF6"/>
    <w:rsid w:val="005D470D"/>
    <w:rsid w:val="005D4E10"/>
    <w:rsid w:val="005D65D5"/>
    <w:rsid w:val="005D6DD8"/>
    <w:rsid w:val="005D7D58"/>
    <w:rsid w:val="005D7EA1"/>
    <w:rsid w:val="005E08CF"/>
    <w:rsid w:val="005E1A28"/>
    <w:rsid w:val="005E2D3B"/>
    <w:rsid w:val="005E576B"/>
    <w:rsid w:val="005F217D"/>
    <w:rsid w:val="005F27E5"/>
    <w:rsid w:val="005F3FFE"/>
    <w:rsid w:val="005F425E"/>
    <w:rsid w:val="005F4720"/>
    <w:rsid w:val="005F5044"/>
    <w:rsid w:val="005F5615"/>
    <w:rsid w:val="00600155"/>
    <w:rsid w:val="00602337"/>
    <w:rsid w:val="006025D4"/>
    <w:rsid w:val="00603EAE"/>
    <w:rsid w:val="0060400F"/>
    <w:rsid w:val="0060482D"/>
    <w:rsid w:val="00605237"/>
    <w:rsid w:val="00605350"/>
    <w:rsid w:val="00605E6C"/>
    <w:rsid w:val="0060609D"/>
    <w:rsid w:val="0060633D"/>
    <w:rsid w:val="0060634A"/>
    <w:rsid w:val="006072DF"/>
    <w:rsid w:val="00607947"/>
    <w:rsid w:val="00610BF7"/>
    <w:rsid w:val="006116D8"/>
    <w:rsid w:val="00611D99"/>
    <w:rsid w:val="006129B1"/>
    <w:rsid w:val="00615DD2"/>
    <w:rsid w:val="00617D2F"/>
    <w:rsid w:val="00621607"/>
    <w:rsid w:val="006218DC"/>
    <w:rsid w:val="006220EE"/>
    <w:rsid w:val="006242C7"/>
    <w:rsid w:val="006259B0"/>
    <w:rsid w:val="00626A0B"/>
    <w:rsid w:val="006272AC"/>
    <w:rsid w:val="00630AC8"/>
    <w:rsid w:val="006349A1"/>
    <w:rsid w:val="00634D81"/>
    <w:rsid w:val="0063532E"/>
    <w:rsid w:val="006364C0"/>
    <w:rsid w:val="006376D8"/>
    <w:rsid w:val="00637F78"/>
    <w:rsid w:val="00640FEE"/>
    <w:rsid w:val="00643082"/>
    <w:rsid w:val="00643A11"/>
    <w:rsid w:val="006445F7"/>
    <w:rsid w:val="006457B3"/>
    <w:rsid w:val="006469E0"/>
    <w:rsid w:val="00647421"/>
    <w:rsid w:val="00651CF5"/>
    <w:rsid w:val="0065404F"/>
    <w:rsid w:val="00657473"/>
    <w:rsid w:val="006611E7"/>
    <w:rsid w:val="00662781"/>
    <w:rsid w:val="00662BC6"/>
    <w:rsid w:val="006639F5"/>
    <w:rsid w:val="00663B51"/>
    <w:rsid w:val="006642CA"/>
    <w:rsid w:val="0066603E"/>
    <w:rsid w:val="00666CCB"/>
    <w:rsid w:val="006670A7"/>
    <w:rsid w:val="00667CD3"/>
    <w:rsid w:val="006704DF"/>
    <w:rsid w:val="0067236F"/>
    <w:rsid w:val="00672985"/>
    <w:rsid w:val="006763BF"/>
    <w:rsid w:val="00676860"/>
    <w:rsid w:val="00677F4D"/>
    <w:rsid w:val="00680679"/>
    <w:rsid w:val="00681FAD"/>
    <w:rsid w:val="006840E1"/>
    <w:rsid w:val="00684BFD"/>
    <w:rsid w:val="0068595F"/>
    <w:rsid w:val="00687764"/>
    <w:rsid w:val="00690178"/>
    <w:rsid w:val="00690A79"/>
    <w:rsid w:val="00693E06"/>
    <w:rsid w:val="00694D51"/>
    <w:rsid w:val="00695A5C"/>
    <w:rsid w:val="0069790F"/>
    <w:rsid w:val="006A1B0C"/>
    <w:rsid w:val="006A27F3"/>
    <w:rsid w:val="006A548B"/>
    <w:rsid w:val="006A6523"/>
    <w:rsid w:val="006A6B56"/>
    <w:rsid w:val="006A7646"/>
    <w:rsid w:val="006B0B90"/>
    <w:rsid w:val="006B1200"/>
    <w:rsid w:val="006B23B6"/>
    <w:rsid w:val="006B4CDF"/>
    <w:rsid w:val="006B5835"/>
    <w:rsid w:val="006B61A9"/>
    <w:rsid w:val="006B775B"/>
    <w:rsid w:val="006C0571"/>
    <w:rsid w:val="006C156C"/>
    <w:rsid w:val="006C4067"/>
    <w:rsid w:val="006C6039"/>
    <w:rsid w:val="006C6B9F"/>
    <w:rsid w:val="006C7BAE"/>
    <w:rsid w:val="006D1795"/>
    <w:rsid w:val="006D1E8B"/>
    <w:rsid w:val="006D360B"/>
    <w:rsid w:val="006D4607"/>
    <w:rsid w:val="006D6221"/>
    <w:rsid w:val="006D6440"/>
    <w:rsid w:val="006E21E8"/>
    <w:rsid w:val="006E2BB8"/>
    <w:rsid w:val="006E35BF"/>
    <w:rsid w:val="006E5BF7"/>
    <w:rsid w:val="006E5FA7"/>
    <w:rsid w:val="006E6AD9"/>
    <w:rsid w:val="006E7B30"/>
    <w:rsid w:val="006E7CE0"/>
    <w:rsid w:val="006F105F"/>
    <w:rsid w:val="006F110F"/>
    <w:rsid w:val="006F45CE"/>
    <w:rsid w:val="006F49C8"/>
    <w:rsid w:val="006F56A3"/>
    <w:rsid w:val="00705591"/>
    <w:rsid w:val="0070593C"/>
    <w:rsid w:val="00705EF1"/>
    <w:rsid w:val="007117C4"/>
    <w:rsid w:val="00712E49"/>
    <w:rsid w:val="007130DE"/>
    <w:rsid w:val="00714BD9"/>
    <w:rsid w:val="00714F31"/>
    <w:rsid w:val="007155C7"/>
    <w:rsid w:val="00717161"/>
    <w:rsid w:val="00720366"/>
    <w:rsid w:val="007205E4"/>
    <w:rsid w:val="00721D1B"/>
    <w:rsid w:val="007228E4"/>
    <w:rsid w:val="00723C6C"/>
    <w:rsid w:val="00725401"/>
    <w:rsid w:val="00725C78"/>
    <w:rsid w:val="007277D6"/>
    <w:rsid w:val="007319B0"/>
    <w:rsid w:val="0073258A"/>
    <w:rsid w:val="007328B2"/>
    <w:rsid w:val="00733063"/>
    <w:rsid w:val="0073384A"/>
    <w:rsid w:val="00733B6D"/>
    <w:rsid w:val="0074006F"/>
    <w:rsid w:val="0074074F"/>
    <w:rsid w:val="007418C1"/>
    <w:rsid w:val="00741B18"/>
    <w:rsid w:val="00741F24"/>
    <w:rsid w:val="00743918"/>
    <w:rsid w:val="007450BD"/>
    <w:rsid w:val="0074715D"/>
    <w:rsid w:val="00750A2F"/>
    <w:rsid w:val="00750D4A"/>
    <w:rsid w:val="007524AE"/>
    <w:rsid w:val="007537CE"/>
    <w:rsid w:val="00753F64"/>
    <w:rsid w:val="007547B3"/>
    <w:rsid w:val="00755F07"/>
    <w:rsid w:val="007570A4"/>
    <w:rsid w:val="00757A5F"/>
    <w:rsid w:val="007608DB"/>
    <w:rsid w:val="00761101"/>
    <w:rsid w:val="00762300"/>
    <w:rsid w:val="007638F1"/>
    <w:rsid w:val="0076562E"/>
    <w:rsid w:val="00766841"/>
    <w:rsid w:val="00767214"/>
    <w:rsid w:val="00767903"/>
    <w:rsid w:val="0076796B"/>
    <w:rsid w:val="00767B8E"/>
    <w:rsid w:val="00767E13"/>
    <w:rsid w:val="00771469"/>
    <w:rsid w:val="00771826"/>
    <w:rsid w:val="0077280F"/>
    <w:rsid w:val="007729B2"/>
    <w:rsid w:val="00774469"/>
    <w:rsid w:val="0077496B"/>
    <w:rsid w:val="00775352"/>
    <w:rsid w:val="007760CE"/>
    <w:rsid w:val="00776FB8"/>
    <w:rsid w:val="00777BEF"/>
    <w:rsid w:val="00777DE2"/>
    <w:rsid w:val="00780E92"/>
    <w:rsid w:val="0078171A"/>
    <w:rsid w:val="0078188A"/>
    <w:rsid w:val="00781C80"/>
    <w:rsid w:val="00785DD3"/>
    <w:rsid w:val="00787FFC"/>
    <w:rsid w:val="00790DF6"/>
    <w:rsid w:val="00790F67"/>
    <w:rsid w:val="007915E8"/>
    <w:rsid w:val="007932A1"/>
    <w:rsid w:val="00793CD6"/>
    <w:rsid w:val="0079439A"/>
    <w:rsid w:val="007946E1"/>
    <w:rsid w:val="00794D56"/>
    <w:rsid w:val="007952F4"/>
    <w:rsid w:val="007960A1"/>
    <w:rsid w:val="007973E4"/>
    <w:rsid w:val="00797832"/>
    <w:rsid w:val="007A01C3"/>
    <w:rsid w:val="007A182D"/>
    <w:rsid w:val="007A19A5"/>
    <w:rsid w:val="007A4BAA"/>
    <w:rsid w:val="007A5512"/>
    <w:rsid w:val="007A5D27"/>
    <w:rsid w:val="007A62A9"/>
    <w:rsid w:val="007A76B2"/>
    <w:rsid w:val="007B14D4"/>
    <w:rsid w:val="007B24D6"/>
    <w:rsid w:val="007B3322"/>
    <w:rsid w:val="007B3810"/>
    <w:rsid w:val="007B3CB8"/>
    <w:rsid w:val="007B61BD"/>
    <w:rsid w:val="007B7017"/>
    <w:rsid w:val="007B7D80"/>
    <w:rsid w:val="007C1E92"/>
    <w:rsid w:val="007C28BB"/>
    <w:rsid w:val="007C31CE"/>
    <w:rsid w:val="007C37E0"/>
    <w:rsid w:val="007C5396"/>
    <w:rsid w:val="007C68DB"/>
    <w:rsid w:val="007C6B84"/>
    <w:rsid w:val="007C7C30"/>
    <w:rsid w:val="007D05E7"/>
    <w:rsid w:val="007D17E9"/>
    <w:rsid w:val="007D1A9B"/>
    <w:rsid w:val="007D27C0"/>
    <w:rsid w:val="007D2F1C"/>
    <w:rsid w:val="007D309B"/>
    <w:rsid w:val="007D33EC"/>
    <w:rsid w:val="007D39E2"/>
    <w:rsid w:val="007D40C7"/>
    <w:rsid w:val="007D4D2B"/>
    <w:rsid w:val="007D5236"/>
    <w:rsid w:val="007D61CC"/>
    <w:rsid w:val="007E01EB"/>
    <w:rsid w:val="007E10A6"/>
    <w:rsid w:val="007E3425"/>
    <w:rsid w:val="007E504D"/>
    <w:rsid w:val="007E604F"/>
    <w:rsid w:val="007E6CA0"/>
    <w:rsid w:val="007F02E0"/>
    <w:rsid w:val="007F1897"/>
    <w:rsid w:val="007F1A66"/>
    <w:rsid w:val="007F1ADA"/>
    <w:rsid w:val="007F3928"/>
    <w:rsid w:val="007F5B19"/>
    <w:rsid w:val="007F6195"/>
    <w:rsid w:val="007F66C7"/>
    <w:rsid w:val="008014E5"/>
    <w:rsid w:val="008023DD"/>
    <w:rsid w:val="00803F67"/>
    <w:rsid w:val="00804187"/>
    <w:rsid w:val="00804F0A"/>
    <w:rsid w:val="00806B90"/>
    <w:rsid w:val="00806B93"/>
    <w:rsid w:val="00810147"/>
    <w:rsid w:val="00812D11"/>
    <w:rsid w:val="00812EED"/>
    <w:rsid w:val="00816680"/>
    <w:rsid w:val="00817FC6"/>
    <w:rsid w:val="00822393"/>
    <w:rsid w:val="008223FB"/>
    <w:rsid w:val="0082435E"/>
    <w:rsid w:val="008256AD"/>
    <w:rsid w:val="008305D8"/>
    <w:rsid w:val="00830D79"/>
    <w:rsid w:val="00831E1C"/>
    <w:rsid w:val="00834EEE"/>
    <w:rsid w:val="008350B5"/>
    <w:rsid w:val="0083535D"/>
    <w:rsid w:val="00835D36"/>
    <w:rsid w:val="00836E7B"/>
    <w:rsid w:val="008370DD"/>
    <w:rsid w:val="0084043F"/>
    <w:rsid w:val="00840C5D"/>
    <w:rsid w:val="008425E6"/>
    <w:rsid w:val="0084501E"/>
    <w:rsid w:val="00846CA8"/>
    <w:rsid w:val="00850170"/>
    <w:rsid w:val="00850418"/>
    <w:rsid w:val="00850E11"/>
    <w:rsid w:val="008511B9"/>
    <w:rsid w:val="00851628"/>
    <w:rsid w:val="008524D0"/>
    <w:rsid w:val="00852BC5"/>
    <w:rsid w:val="00854837"/>
    <w:rsid w:val="00855105"/>
    <w:rsid w:val="008555A9"/>
    <w:rsid w:val="008564B1"/>
    <w:rsid w:val="0085787F"/>
    <w:rsid w:val="00860860"/>
    <w:rsid w:val="00863C7D"/>
    <w:rsid w:val="00863FFB"/>
    <w:rsid w:val="00864CD7"/>
    <w:rsid w:val="00864FC7"/>
    <w:rsid w:val="00866D1B"/>
    <w:rsid w:val="00867298"/>
    <w:rsid w:val="008700BA"/>
    <w:rsid w:val="00871239"/>
    <w:rsid w:val="00872251"/>
    <w:rsid w:val="00876DEC"/>
    <w:rsid w:val="00880048"/>
    <w:rsid w:val="00882A58"/>
    <w:rsid w:val="00883006"/>
    <w:rsid w:val="00884583"/>
    <w:rsid w:val="00885157"/>
    <w:rsid w:val="008860A1"/>
    <w:rsid w:val="00886F65"/>
    <w:rsid w:val="0088702C"/>
    <w:rsid w:val="008871AB"/>
    <w:rsid w:val="00887580"/>
    <w:rsid w:val="00892761"/>
    <w:rsid w:val="00894355"/>
    <w:rsid w:val="00895A58"/>
    <w:rsid w:val="00896E0E"/>
    <w:rsid w:val="008971FE"/>
    <w:rsid w:val="008A0215"/>
    <w:rsid w:val="008A038B"/>
    <w:rsid w:val="008A3A8C"/>
    <w:rsid w:val="008A4C24"/>
    <w:rsid w:val="008B04F1"/>
    <w:rsid w:val="008B11DC"/>
    <w:rsid w:val="008B2C79"/>
    <w:rsid w:val="008B3ABF"/>
    <w:rsid w:val="008B3E93"/>
    <w:rsid w:val="008B3EB3"/>
    <w:rsid w:val="008B706F"/>
    <w:rsid w:val="008C100A"/>
    <w:rsid w:val="008C6101"/>
    <w:rsid w:val="008C6B20"/>
    <w:rsid w:val="008D1246"/>
    <w:rsid w:val="008D20CE"/>
    <w:rsid w:val="008D2928"/>
    <w:rsid w:val="008D465B"/>
    <w:rsid w:val="008D4BD9"/>
    <w:rsid w:val="008D506B"/>
    <w:rsid w:val="008D50FB"/>
    <w:rsid w:val="008D67A9"/>
    <w:rsid w:val="008D721E"/>
    <w:rsid w:val="008E0650"/>
    <w:rsid w:val="008E0E4B"/>
    <w:rsid w:val="008E1AA7"/>
    <w:rsid w:val="008E201E"/>
    <w:rsid w:val="008E2CBE"/>
    <w:rsid w:val="008F0665"/>
    <w:rsid w:val="008F0FAF"/>
    <w:rsid w:val="008F1527"/>
    <w:rsid w:val="008F3C44"/>
    <w:rsid w:val="008F5AF5"/>
    <w:rsid w:val="008F683C"/>
    <w:rsid w:val="008F68B0"/>
    <w:rsid w:val="008F7018"/>
    <w:rsid w:val="00900CB1"/>
    <w:rsid w:val="00901394"/>
    <w:rsid w:val="00902EE8"/>
    <w:rsid w:val="009065FC"/>
    <w:rsid w:val="00906AB8"/>
    <w:rsid w:val="00906D03"/>
    <w:rsid w:val="00906EE6"/>
    <w:rsid w:val="0090711D"/>
    <w:rsid w:val="0090737E"/>
    <w:rsid w:val="0090782A"/>
    <w:rsid w:val="00910C99"/>
    <w:rsid w:val="009113C3"/>
    <w:rsid w:val="00912F4F"/>
    <w:rsid w:val="00913E4A"/>
    <w:rsid w:val="0091724C"/>
    <w:rsid w:val="0092057B"/>
    <w:rsid w:val="009206E8"/>
    <w:rsid w:val="00922580"/>
    <w:rsid w:val="00923F44"/>
    <w:rsid w:val="00925C25"/>
    <w:rsid w:val="0092668C"/>
    <w:rsid w:val="00932A3A"/>
    <w:rsid w:val="0093381D"/>
    <w:rsid w:val="00934393"/>
    <w:rsid w:val="0093439D"/>
    <w:rsid w:val="00934FF4"/>
    <w:rsid w:val="009354AD"/>
    <w:rsid w:val="00935B58"/>
    <w:rsid w:val="00935C6A"/>
    <w:rsid w:val="00936E43"/>
    <w:rsid w:val="00941734"/>
    <w:rsid w:val="0094181C"/>
    <w:rsid w:val="00941A76"/>
    <w:rsid w:val="00941C5C"/>
    <w:rsid w:val="009428D7"/>
    <w:rsid w:val="009434CE"/>
    <w:rsid w:val="00944551"/>
    <w:rsid w:val="009462D1"/>
    <w:rsid w:val="009472FC"/>
    <w:rsid w:val="00950306"/>
    <w:rsid w:val="00951054"/>
    <w:rsid w:val="00951607"/>
    <w:rsid w:val="00952874"/>
    <w:rsid w:val="00952F18"/>
    <w:rsid w:val="0095462D"/>
    <w:rsid w:val="00957912"/>
    <w:rsid w:val="0096117E"/>
    <w:rsid w:val="00961F20"/>
    <w:rsid w:val="009639DC"/>
    <w:rsid w:val="00964481"/>
    <w:rsid w:val="00964D2F"/>
    <w:rsid w:val="009658F9"/>
    <w:rsid w:val="00965DB5"/>
    <w:rsid w:val="0096659A"/>
    <w:rsid w:val="00971C9A"/>
    <w:rsid w:val="009724C4"/>
    <w:rsid w:val="00973AC8"/>
    <w:rsid w:val="009742D3"/>
    <w:rsid w:val="009777DE"/>
    <w:rsid w:val="0098086C"/>
    <w:rsid w:val="009830E0"/>
    <w:rsid w:val="009841DF"/>
    <w:rsid w:val="00984924"/>
    <w:rsid w:val="00984C06"/>
    <w:rsid w:val="0098525D"/>
    <w:rsid w:val="00986AF7"/>
    <w:rsid w:val="0098717E"/>
    <w:rsid w:val="00987475"/>
    <w:rsid w:val="00991038"/>
    <w:rsid w:val="009918C0"/>
    <w:rsid w:val="009954D2"/>
    <w:rsid w:val="00996F87"/>
    <w:rsid w:val="009A098F"/>
    <w:rsid w:val="009A160E"/>
    <w:rsid w:val="009A2587"/>
    <w:rsid w:val="009A331A"/>
    <w:rsid w:val="009A4279"/>
    <w:rsid w:val="009A46E8"/>
    <w:rsid w:val="009A59CE"/>
    <w:rsid w:val="009B03E6"/>
    <w:rsid w:val="009B048F"/>
    <w:rsid w:val="009B0E27"/>
    <w:rsid w:val="009B1007"/>
    <w:rsid w:val="009B1290"/>
    <w:rsid w:val="009B66BD"/>
    <w:rsid w:val="009B67AE"/>
    <w:rsid w:val="009B6945"/>
    <w:rsid w:val="009B7044"/>
    <w:rsid w:val="009C006B"/>
    <w:rsid w:val="009C0117"/>
    <w:rsid w:val="009C2ACD"/>
    <w:rsid w:val="009C5065"/>
    <w:rsid w:val="009C60DD"/>
    <w:rsid w:val="009C6C29"/>
    <w:rsid w:val="009C7C20"/>
    <w:rsid w:val="009C7E2E"/>
    <w:rsid w:val="009D1044"/>
    <w:rsid w:val="009D22A2"/>
    <w:rsid w:val="009D2DD2"/>
    <w:rsid w:val="009D4270"/>
    <w:rsid w:val="009D6B41"/>
    <w:rsid w:val="009D6FD8"/>
    <w:rsid w:val="009D7AC7"/>
    <w:rsid w:val="009E0188"/>
    <w:rsid w:val="009E0473"/>
    <w:rsid w:val="009E12E0"/>
    <w:rsid w:val="009E15A6"/>
    <w:rsid w:val="009E4CD1"/>
    <w:rsid w:val="009E70E1"/>
    <w:rsid w:val="009E71DE"/>
    <w:rsid w:val="009E7658"/>
    <w:rsid w:val="009F00B9"/>
    <w:rsid w:val="009F092C"/>
    <w:rsid w:val="009F1166"/>
    <w:rsid w:val="009F125E"/>
    <w:rsid w:val="009F12CB"/>
    <w:rsid w:val="009F2764"/>
    <w:rsid w:val="009F5371"/>
    <w:rsid w:val="009F6B84"/>
    <w:rsid w:val="009F7448"/>
    <w:rsid w:val="009F7CDF"/>
    <w:rsid w:val="00A002F9"/>
    <w:rsid w:val="00A00690"/>
    <w:rsid w:val="00A0226E"/>
    <w:rsid w:val="00A02329"/>
    <w:rsid w:val="00A0260E"/>
    <w:rsid w:val="00A03E5D"/>
    <w:rsid w:val="00A1004D"/>
    <w:rsid w:val="00A10828"/>
    <w:rsid w:val="00A10969"/>
    <w:rsid w:val="00A115FB"/>
    <w:rsid w:val="00A11F36"/>
    <w:rsid w:val="00A17A13"/>
    <w:rsid w:val="00A17C5D"/>
    <w:rsid w:val="00A222F7"/>
    <w:rsid w:val="00A2274B"/>
    <w:rsid w:val="00A22F96"/>
    <w:rsid w:val="00A232A0"/>
    <w:rsid w:val="00A247FB"/>
    <w:rsid w:val="00A24E96"/>
    <w:rsid w:val="00A27C2B"/>
    <w:rsid w:val="00A30DEA"/>
    <w:rsid w:val="00A31FC8"/>
    <w:rsid w:val="00A32EEE"/>
    <w:rsid w:val="00A34DDA"/>
    <w:rsid w:val="00A3530D"/>
    <w:rsid w:val="00A36D4D"/>
    <w:rsid w:val="00A3748D"/>
    <w:rsid w:val="00A3770D"/>
    <w:rsid w:val="00A4075B"/>
    <w:rsid w:val="00A426F1"/>
    <w:rsid w:val="00A43F70"/>
    <w:rsid w:val="00A44115"/>
    <w:rsid w:val="00A45B5B"/>
    <w:rsid w:val="00A516B6"/>
    <w:rsid w:val="00A5268C"/>
    <w:rsid w:val="00A53D52"/>
    <w:rsid w:val="00A53E09"/>
    <w:rsid w:val="00A54F98"/>
    <w:rsid w:val="00A55006"/>
    <w:rsid w:val="00A553B1"/>
    <w:rsid w:val="00A563ED"/>
    <w:rsid w:val="00A60719"/>
    <w:rsid w:val="00A60C53"/>
    <w:rsid w:val="00A61CAD"/>
    <w:rsid w:val="00A634D0"/>
    <w:rsid w:val="00A63AC6"/>
    <w:rsid w:val="00A63B38"/>
    <w:rsid w:val="00A64FFD"/>
    <w:rsid w:val="00A6539A"/>
    <w:rsid w:val="00A70E62"/>
    <w:rsid w:val="00A7119E"/>
    <w:rsid w:val="00A719A8"/>
    <w:rsid w:val="00A71E8D"/>
    <w:rsid w:val="00A72B2A"/>
    <w:rsid w:val="00A72F3C"/>
    <w:rsid w:val="00A73A65"/>
    <w:rsid w:val="00A73A74"/>
    <w:rsid w:val="00A73ADB"/>
    <w:rsid w:val="00A75F05"/>
    <w:rsid w:val="00A769F4"/>
    <w:rsid w:val="00A76DA6"/>
    <w:rsid w:val="00A80B11"/>
    <w:rsid w:val="00A815AF"/>
    <w:rsid w:val="00A8238C"/>
    <w:rsid w:val="00A82AB2"/>
    <w:rsid w:val="00A8360F"/>
    <w:rsid w:val="00A843B6"/>
    <w:rsid w:val="00A847B1"/>
    <w:rsid w:val="00A852A5"/>
    <w:rsid w:val="00A8664D"/>
    <w:rsid w:val="00A87035"/>
    <w:rsid w:val="00A8726E"/>
    <w:rsid w:val="00A87AF9"/>
    <w:rsid w:val="00A901AE"/>
    <w:rsid w:val="00A90B4C"/>
    <w:rsid w:val="00A91787"/>
    <w:rsid w:val="00A91F13"/>
    <w:rsid w:val="00A927A2"/>
    <w:rsid w:val="00A9317D"/>
    <w:rsid w:val="00A946AE"/>
    <w:rsid w:val="00A97967"/>
    <w:rsid w:val="00AA0912"/>
    <w:rsid w:val="00AA1BA1"/>
    <w:rsid w:val="00AA281A"/>
    <w:rsid w:val="00AA444F"/>
    <w:rsid w:val="00AA546D"/>
    <w:rsid w:val="00AA5996"/>
    <w:rsid w:val="00AA6C69"/>
    <w:rsid w:val="00AB37AA"/>
    <w:rsid w:val="00AB4D47"/>
    <w:rsid w:val="00AB50EC"/>
    <w:rsid w:val="00AB6048"/>
    <w:rsid w:val="00AB7A37"/>
    <w:rsid w:val="00AC16CA"/>
    <w:rsid w:val="00AC3BDB"/>
    <w:rsid w:val="00AC3E61"/>
    <w:rsid w:val="00AC4090"/>
    <w:rsid w:val="00AC4CF6"/>
    <w:rsid w:val="00AC4F37"/>
    <w:rsid w:val="00AC65D8"/>
    <w:rsid w:val="00AC7633"/>
    <w:rsid w:val="00AC7A42"/>
    <w:rsid w:val="00AD15A1"/>
    <w:rsid w:val="00AD1CEF"/>
    <w:rsid w:val="00AD30FF"/>
    <w:rsid w:val="00AD33ED"/>
    <w:rsid w:val="00AD3406"/>
    <w:rsid w:val="00AD3464"/>
    <w:rsid w:val="00AD5FA3"/>
    <w:rsid w:val="00AD614C"/>
    <w:rsid w:val="00AD7158"/>
    <w:rsid w:val="00AD7B8A"/>
    <w:rsid w:val="00AE064A"/>
    <w:rsid w:val="00AE0851"/>
    <w:rsid w:val="00AE0B9D"/>
    <w:rsid w:val="00AE1089"/>
    <w:rsid w:val="00AE23A0"/>
    <w:rsid w:val="00AE2542"/>
    <w:rsid w:val="00AE2DA1"/>
    <w:rsid w:val="00AE3D1F"/>
    <w:rsid w:val="00AE3D4A"/>
    <w:rsid w:val="00AE4929"/>
    <w:rsid w:val="00AE4F05"/>
    <w:rsid w:val="00AE6C8B"/>
    <w:rsid w:val="00AE75BD"/>
    <w:rsid w:val="00AE7CA7"/>
    <w:rsid w:val="00AF008F"/>
    <w:rsid w:val="00AF2D2C"/>
    <w:rsid w:val="00AF2EE4"/>
    <w:rsid w:val="00AF339D"/>
    <w:rsid w:val="00AF5EAB"/>
    <w:rsid w:val="00AF651A"/>
    <w:rsid w:val="00AF6A04"/>
    <w:rsid w:val="00AF6F45"/>
    <w:rsid w:val="00AF7BC2"/>
    <w:rsid w:val="00AF7D97"/>
    <w:rsid w:val="00B0033E"/>
    <w:rsid w:val="00B00844"/>
    <w:rsid w:val="00B00A00"/>
    <w:rsid w:val="00B01571"/>
    <w:rsid w:val="00B045E9"/>
    <w:rsid w:val="00B0679F"/>
    <w:rsid w:val="00B069E4"/>
    <w:rsid w:val="00B06FF6"/>
    <w:rsid w:val="00B1026A"/>
    <w:rsid w:val="00B10930"/>
    <w:rsid w:val="00B116BD"/>
    <w:rsid w:val="00B13C64"/>
    <w:rsid w:val="00B17365"/>
    <w:rsid w:val="00B178AB"/>
    <w:rsid w:val="00B200C7"/>
    <w:rsid w:val="00B20476"/>
    <w:rsid w:val="00B22700"/>
    <w:rsid w:val="00B26CFE"/>
    <w:rsid w:val="00B30833"/>
    <w:rsid w:val="00B35F4B"/>
    <w:rsid w:val="00B37DE1"/>
    <w:rsid w:val="00B41229"/>
    <w:rsid w:val="00B42F72"/>
    <w:rsid w:val="00B4400F"/>
    <w:rsid w:val="00B46264"/>
    <w:rsid w:val="00B50AF8"/>
    <w:rsid w:val="00B50E73"/>
    <w:rsid w:val="00B515B0"/>
    <w:rsid w:val="00B51D77"/>
    <w:rsid w:val="00B53478"/>
    <w:rsid w:val="00B54302"/>
    <w:rsid w:val="00B55196"/>
    <w:rsid w:val="00B55DBB"/>
    <w:rsid w:val="00B56B20"/>
    <w:rsid w:val="00B5712A"/>
    <w:rsid w:val="00B6033C"/>
    <w:rsid w:val="00B617B1"/>
    <w:rsid w:val="00B61D18"/>
    <w:rsid w:val="00B63BCD"/>
    <w:rsid w:val="00B67364"/>
    <w:rsid w:val="00B677C1"/>
    <w:rsid w:val="00B701CF"/>
    <w:rsid w:val="00B753A8"/>
    <w:rsid w:val="00B756A0"/>
    <w:rsid w:val="00B77724"/>
    <w:rsid w:val="00B81445"/>
    <w:rsid w:val="00B81FE0"/>
    <w:rsid w:val="00B83986"/>
    <w:rsid w:val="00B8488C"/>
    <w:rsid w:val="00B85433"/>
    <w:rsid w:val="00B85847"/>
    <w:rsid w:val="00B8751C"/>
    <w:rsid w:val="00B91563"/>
    <w:rsid w:val="00B91887"/>
    <w:rsid w:val="00B9350E"/>
    <w:rsid w:val="00B9435C"/>
    <w:rsid w:val="00B9613D"/>
    <w:rsid w:val="00B96AA2"/>
    <w:rsid w:val="00BA3592"/>
    <w:rsid w:val="00BA4803"/>
    <w:rsid w:val="00BA4AE6"/>
    <w:rsid w:val="00BA4BE0"/>
    <w:rsid w:val="00BA5576"/>
    <w:rsid w:val="00BA56A7"/>
    <w:rsid w:val="00BA7447"/>
    <w:rsid w:val="00BB1B66"/>
    <w:rsid w:val="00BB2B19"/>
    <w:rsid w:val="00BB2C9A"/>
    <w:rsid w:val="00BB3414"/>
    <w:rsid w:val="00BB5003"/>
    <w:rsid w:val="00BC0CD2"/>
    <w:rsid w:val="00BC1569"/>
    <w:rsid w:val="00BC1573"/>
    <w:rsid w:val="00BC1918"/>
    <w:rsid w:val="00BC278F"/>
    <w:rsid w:val="00BC293D"/>
    <w:rsid w:val="00BC376B"/>
    <w:rsid w:val="00BC37F0"/>
    <w:rsid w:val="00BC4651"/>
    <w:rsid w:val="00BC5834"/>
    <w:rsid w:val="00BC684E"/>
    <w:rsid w:val="00BC6C16"/>
    <w:rsid w:val="00BD1D1A"/>
    <w:rsid w:val="00BD55E9"/>
    <w:rsid w:val="00BD60F7"/>
    <w:rsid w:val="00BD6145"/>
    <w:rsid w:val="00BD73B8"/>
    <w:rsid w:val="00BD7C6E"/>
    <w:rsid w:val="00BD7D61"/>
    <w:rsid w:val="00BE1428"/>
    <w:rsid w:val="00BE1590"/>
    <w:rsid w:val="00BE209F"/>
    <w:rsid w:val="00BE23F9"/>
    <w:rsid w:val="00BE30F3"/>
    <w:rsid w:val="00BE4E0F"/>
    <w:rsid w:val="00BE5280"/>
    <w:rsid w:val="00BE52F7"/>
    <w:rsid w:val="00BE5A5D"/>
    <w:rsid w:val="00BE69D8"/>
    <w:rsid w:val="00BE718F"/>
    <w:rsid w:val="00BE71F9"/>
    <w:rsid w:val="00BF0425"/>
    <w:rsid w:val="00BF16A2"/>
    <w:rsid w:val="00BF40C2"/>
    <w:rsid w:val="00BF49FE"/>
    <w:rsid w:val="00BF5B69"/>
    <w:rsid w:val="00BF6DBC"/>
    <w:rsid w:val="00BF7733"/>
    <w:rsid w:val="00BF7AAB"/>
    <w:rsid w:val="00C01D86"/>
    <w:rsid w:val="00C022E2"/>
    <w:rsid w:val="00C027D6"/>
    <w:rsid w:val="00C0450D"/>
    <w:rsid w:val="00C047F5"/>
    <w:rsid w:val="00C049A2"/>
    <w:rsid w:val="00C05CBE"/>
    <w:rsid w:val="00C0641C"/>
    <w:rsid w:val="00C06F4B"/>
    <w:rsid w:val="00C07896"/>
    <w:rsid w:val="00C10B2A"/>
    <w:rsid w:val="00C113D5"/>
    <w:rsid w:val="00C12436"/>
    <w:rsid w:val="00C127A5"/>
    <w:rsid w:val="00C139D7"/>
    <w:rsid w:val="00C13EE3"/>
    <w:rsid w:val="00C15994"/>
    <w:rsid w:val="00C15CCD"/>
    <w:rsid w:val="00C16209"/>
    <w:rsid w:val="00C1680D"/>
    <w:rsid w:val="00C17386"/>
    <w:rsid w:val="00C209A0"/>
    <w:rsid w:val="00C2157E"/>
    <w:rsid w:val="00C23AAE"/>
    <w:rsid w:val="00C23D18"/>
    <w:rsid w:val="00C2451C"/>
    <w:rsid w:val="00C2550B"/>
    <w:rsid w:val="00C26D63"/>
    <w:rsid w:val="00C26FAA"/>
    <w:rsid w:val="00C27274"/>
    <w:rsid w:val="00C27D76"/>
    <w:rsid w:val="00C313CF"/>
    <w:rsid w:val="00C31B96"/>
    <w:rsid w:val="00C32183"/>
    <w:rsid w:val="00C348D0"/>
    <w:rsid w:val="00C35DCA"/>
    <w:rsid w:val="00C35F42"/>
    <w:rsid w:val="00C368C1"/>
    <w:rsid w:val="00C36E4F"/>
    <w:rsid w:val="00C37BB5"/>
    <w:rsid w:val="00C42985"/>
    <w:rsid w:val="00C4392E"/>
    <w:rsid w:val="00C43B4C"/>
    <w:rsid w:val="00C43BAE"/>
    <w:rsid w:val="00C44851"/>
    <w:rsid w:val="00C45840"/>
    <w:rsid w:val="00C45DF3"/>
    <w:rsid w:val="00C47946"/>
    <w:rsid w:val="00C47CF4"/>
    <w:rsid w:val="00C50E39"/>
    <w:rsid w:val="00C52B74"/>
    <w:rsid w:val="00C52D57"/>
    <w:rsid w:val="00C539AE"/>
    <w:rsid w:val="00C56E22"/>
    <w:rsid w:val="00C60250"/>
    <w:rsid w:val="00C60C20"/>
    <w:rsid w:val="00C6129D"/>
    <w:rsid w:val="00C615BC"/>
    <w:rsid w:val="00C628A6"/>
    <w:rsid w:val="00C6377E"/>
    <w:rsid w:val="00C64CA0"/>
    <w:rsid w:val="00C64D9B"/>
    <w:rsid w:val="00C65211"/>
    <w:rsid w:val="00C671AB"/>
    <w:rsid w:val="00C67851"/>
    <w:rsid w:val="00C67B3B"/>
    <w:rsid w:val="00C67BC2"/>
    <w:rsid w:val="00C70FA9"/>
    <w:rsid w:val="00C71779"/>
    <w:rsid w:val="00C726BD"/>
    <w:rsid w:val="00C75699"/>
    <w:rsid w:val="00C75F3A"/>
    <w:rsid w:val="00C823D2"/>
    <w:rsid w:val="00C83A23"/>
    <w:rsid w:val="00C91648"/>
    <w:rsid w:val="00C919F0"/>
    <w:rsid w:val="00C91B85"/>
    <w:rsid w:val="00C94587"/>
    <w:rsid w:val="00C97A6C"/>
    <w:rsid w:val="00C97F3A"/>
    <w:rsid w:val="00CA0657"/>
    <w:rsid w:val="00CA0B89"/>
    <w:rsid w:val="00CA0BF9"/>
    <w:rsid w:val="00CA12E7"/>
    <w:rsid w:val="00CA1E25"/>
    <w:rsid w:val="00CA254A"/>
    <w:rsid w:val="00CA3A47"/>
    <w:rsid w:val="00CA3FC5"/>
    <w:rsid w:val="00CA4A9C"/>
    <w:rsid w:val="00CA5750"/>
    <w:rsid w:val="00CA6AD8"/>
    <w:rsid w:val="00CB105A"/>
    <w:rsid w:val="00CB1915"/>
    <w:rsid w:val="00CB52D0"/>
    <w:rsid w:val="00CB533C"/>
    <w:rsid w:val="00CB6676"/>
    <w:rsid w:val="00CC032B"/>
    <w:rsid w:val="00CC1B34"/>
    <w:rsid w:val="00CC20C0"/>
    <w:rsid w:val="00CC2C94"/>
    <w:rsid w:val="00CC4D0F"/>
    <w:rsid w:val="00CC7A88"/>
    <w:rsid w:val="00CD0B05"/>
    <w:rsid w:val="00CD0B4C"/>
    <w:rsid w:val="00CD10FF"/>
    <w:rsid w:val="00CD1461"/>
    <w:rsid w:val="00CD19E2"/>
    <w:rsid w:val="00CD4735"/>
    <w:rsid w:val="00CD6746"/>
    <w:rsid w:val="00CD6848"/>
    <w:rsid w:val="00CE04B9"/>
    <w:rsid w:val="00CE05C3"/>
    <w:rsid w:val="00CE1B17"/>
    <w:rsid w:val="00CE33BE"/>
    <w:rsid w:val="00CE3AA3"/>
    <w:rsid w:val="00CE4BDD"/>
    <w:rsid w:val="00CE5083"/>
    <w:rsid w:val="00CE5611"/>
    <w:rsid w:val="00CE6C7C"/>
    <w:rsid w:val="00CE7B0E"/>
    <w:rsid w:val="00CE7F63"/>
    <w:rsid w:val="00CF026C"/>
    <w:rsid w:val="00CF19EE"/>
    <w:rsid w:val="00CF1ACA"/>
    <w:rsid w:val="00CF1F8D"/>
    <w:rsid w:val="00CF4045"/>
    <w:rsid w:val="00CF7FD5"/>
    <w:rsid w:val="00D00E6A"/>
    <w:rsid w:val="00D01C91"/>
    <w:rsid w:val="00D04D3F"/>
    <w:rsid w:val="00D05A0A"/>
    <w:rsid w:val="00D06392"/>
    <w:rsid w:val="00D07061"/>
    <w:rsid w:val="00D077DC"/>
    <w:rsid w:val="00D07D63"/>
    <w:rsid w:val="00D12492"/>
    <w:rsid w:val="00D13542"/>
    <w:rsid w:val="00D15499"/>
    <w:rsid w:val="00D16D91"/>
    <w:rsid w:val="00D1715C"/>
    <w:rsid w:val="00D2070F"/>
    <w:rsid w:val="00D20BCB"/>
    <w:rsid w:val="00D226EA"/>
    <w:rsid w:val="00D26ECF"/>
    <w:rsid w:val="00D270C4"/>
    <w:rsid w:val="00D3059B"/>
    <w:rsid w:val="00D3274E"/>
    <w:rsid w:val="00D33ECC"/>
    <w:rsid w:val="00D34F53"/>
    <w:rsid w:val="00D37451"/>
    <w:rsid w:val="00D40245"/>
    <w:rsid w:val="00D42355"/>
    <w:rsid w:val="00D42779"/>
    <w:rsid w:val="00D43426"/>
    <w:rsid w:val="00D43573"/>
    <w:rsid w:val="00D43F7B"/>
    <w:rsid w:val="00D46BE1"/>
    <w:rsid w:val="00D54483"/>
    <w:rsid w:val="00D55E69"/>
    <w:rsid w:val="00D6053D"/>
    <w:rsid w:val="00D60E6B"/>
    <w:rsid w:val="00D63855"/>
    <w:rsid w:val="00D63D80"/>
    <w:rsid w:val="00D64E74"/>
    <w:rsid w:val="00D65A87"/>
    <w:rsid w:val="00D65A8B"/>
    <w:rsid w:val="00D6625D"/>
    <w:rsid w:val="00D7108F"/>
    <w:rsid w:val="00D7181A"/>
    <w:rsid w:val="00D71E8D"/>
    <w:rsid w:val="00D722A2"/>
    <w:rsid w:val="00D73296"/>
    <w:rsid w:val="00D74BB3"/>
    <w:rsid w:val="00D7677E"/>
    <w:rsid w:val="00D807CE"/>
    <w:rsid w:val="00D815E3"/>
    <w:rsid w:val="00D844AE"/>
    <w:rsid w:val="00D8783A"/>
    <w:rsid w:val="00D87861"/>
    <w:rsid w:val="00D916A4"/>
    <w:rsid w:val="00D91DCB"/>
    <w:rsid w:val="00D941FF"/>
    <w:rsid w:val="00D963F8"/>
    <w:rsid w:val="00D970B0"/>
    <w:rsid w:val="00DA1381"/>
    <w:rsid w:val="00DA1B39"/>
    <w:rsid w:val="00DA377A"/>
    <w:rsid w:val="00DA3C9C"/>
    <w:rsid w:val="00DA5282"/>
    <w:rsid w:val="00DA63A6"/>
    <w:rsid w:val="00DA7B3B"/>
    <w:rsid w:val="00DB035F"/>
    <w:rsid w:val="00DB0FEE"/>
    <w:rsid w:val="00DB2D83"/>
    <w:rsid w:val="00DB30C3"/>
    <w:rsid w:val="00DB4033"/>
    <w:rsid w:val="00DB58C8"/>
    <w:rsid w:val="00DC0F5D"/>
    <w:rsid w:val="00DC31D4"/>
    <w:rsid w:val="00DC3B0F"/>
    <w:rsid w:val="00DC495E"/>
    <w:rsid w:val="00DC53C7"/>
    <w:rsid w:val="00DC6532"/>
    <w:rsid w:val="00DC6979"/>
    <w:rsid w:val="00DC6B75"/>
    <w:rsid w:val="00DC732A"/>
    <w:rsid w:val="00DC79DA"/>
    <w:rsid w:val="00DD234A"/>
    <w:rsid w:val="00DD24F3"/>
    <w:rsid w:val="00DD403E"/>
    <w:rsid w:val="00DD6ECF"/>
    <w:rsid w:val="00DD6FA0"/>
    <w:rsid w:val="00DD7AA6"/>
    <w:rsid w:val="00DE230A"/>
    <w:rsid w:val="00DE262A"/>
    <w:rsid w:val="00DE2C67"/>
    <w:rsid w:val="00DE39D3"/>
    <w:rsid w:val="00DE3FE3"/>
    <w:rsid w:val="00DE526F"/>
    <w:rsid w:val="00DF0311"/>
    <w:rsid w:val="00DF0E3D"/>
    <w:rsid w:val="00DF2BE6"/>
    <w:rsid w:val="00DF3CD8"/>
    <w:rsid w:val="00DF3F2C"/>
    <w:rsid w:val="00DF47D9"/>
    <w:rsid w:val="00DF4899"/>
    <w:rsid w:val="00DF4C30"/>
    <w:rsid w:val="00DF6671"/>
    <w:rsid w:val="00DF6BDD"/>
    <w:rsid w:val="00E0099C"/>
    <w:rsid w:val="00E018EA"/>
    <w:rsid w:val="00E031A0"/>
    <w:rsid w:val="00E03591"/>
    <w:rsid w:val="00E043AB"/>
    <w:rsid w:val="00E05DA3"/>
    <w:rsid w:val="00E06BBA"/>
    <w:rsid w:val="00E07CD2"/>
    <w:rsid w:val="00E10E28"/>
    <w:rsid w:val="00E156A0"/>
    <w:rsid w:val="00E16653"/>
    <w:rsid w:val="00E1674C"/>
    <w:rsid w:val="00E1799B"/>
    <w:rsid w:val="00E22EB9"/>
    <w:rsid w:val="00E23290"/>
    <w:rsid w:val="00E23A3B"/>
    <w:rsid w:val="00E240DC"/>
    <w:rsid w:val="00E25677"/>
    <w:rsid w:val="00E25688"/>
    <w:rsid w:val="00E25DB7"/>
    <w:rsid w:val="00E2631E"/>
    <w:rsid w:val="00E27851"/>
    <w:rsid w:val="00E278C2"/>
    <w:rsid w:val="00E27BCA"/>
    <w:rsid w:val="00E30BC6"/>
    <w:rsid w:val="00E31C5D"/>
    <w:rsid w:val="00E32051"/>
    <w:rsid w:val="00E340F8"/>
    <w:rsid w:val="00E3465F"/>
    <w:rsid w:val="00E369BD"/>
    <w:rsid w:val="00E37DC9"/>
    <w:rsid w:val="00E41E60"/>
    <w:rsid w:val="00E43027"/>
    <w:rsid w:val="00E452E5"/>
    <w:rsid w:val="00E466BF"/>
    <w:rsid w:val="00E46DBC"/>
    <w:rsid w:val="00E51437"/>
    <w:rsid w:val="00E52CB9"/>
    <w:rsid w:val="00E54245"/>
    <w:rsid w:val="00E550EF"/>
    <w:rsid w:val="00E55C2E"/>
    <w:rsid w:val="00E56467"/>
    <w:rsid w:val="00E56D8D"/>
    <w:rsid w:val="00E63422"/>
    <w:rsid w:val="00E63A82"/>
    <w:rsid w:val="00E642E3"/>
    <w:rsid w:val="00E65F4A"/>
    <w:rsid w:val="00E71EE6"/>
    <w:rsid w:val="00E73830"/>
    <w:rsid w:val="00E73A43"/>
    <w:rsid w:val="00E74C0C"/>
    <w:rsid w:val="00E74CAE"/>
    <w:rsid w:val="00E753DE"/>
    <w:rsid w:val="00E75AD7"/>
    <w:rsid w:val="00E772D1"/>
    <w:rsid w:val="00E81E99"/>
    <w:rsid w:val="00E8251C"/>
    <w:rsid w:val="00E832C4"/>
    <w:rsid w:val="00E83BAC"/>
    <w:rsid w:val="00E83E95"/>
    <w:rsid w:val="00E858B4"/>
    <w:rsid w:val="00E85962"/>
    <w:rsid w:val="00E85C25"/>
    <w:rsid w:val="00E86043"/>
    <w:rsid w:val="00E86088"/>
    <w:rsid w:val="00E91BE1"/>
    <w:rsid w:val="00E94522"/>
    <w:rsid w:val="00E955A0"/>
    <w:rsid w:val="00E957C1"/>
    <w:rsid w:val="00E96551"/>
    <w:rsid w:val="00E97ED3"/>
    <w:rsid w:val="00EA0215"/>
    <w:rsid w:val="00EA0C0C"/>
    <w:rsid w:val="00EA1882"/>
    <w:rsid w:val="00EA52DA"/>
    <w:rsid w:val="00EA58A7"/>
    <w:rsid w:val="00EA665F"/>
    <w:rsid w:val="00EA6CDF"/>
    <w:rsid w:val="00EA79CF"/>
    <w:rsid w:val="00EA7FE4"/>
    <w:rsid w:val="00EB2715"/>
    <w:rsid w:val="00EB272F"/>
    <w:rsid w:val="00EB31C3"/>
    <w:rsid w:val="00EB5D62"/>
    <w:rsid w:val="00EB5E48"/>
    <w:rsid w:val="00EB6F93"/>
    <w:rsid w:val="00EC054E"/>
    <w:rsid w:val="00EC07B0"/>
    <w:rsid w:val="00EC22C0"/>
    <w:rsid w:val="00EC3F66"/>
    <w:rsid w:val="00EC49F1"/>
    <w:rsid w:val="00EC5183"/>
    <w:rsid w:val="00EC54BF"/>
    <w:rsid w:val="00EC5BE6"/>
    <w:rsid w:val="00EC5C03"/>
    <w:rsid w:val="00EC5FB2"/>
    <w:rsid w:val="00EC6462"/>
    <w:rsid w:val="00EC74B7"/>
    <w:rsid w:val="00EC7B22"/>
    <w:rsid w:val="00ED21F8"/>
    <w:rsid w:val="00ED5551"/>
    <w:rsid w:val="00ED6E3B"/>
    <w:rsid w:val="00ED7727"/>
    <w:rsid w:val="00EE0444"/>
    <w:rsid w:val="00EE06EB"/>
    <w:rsid w:val="00EE0872"/>
    <w:rsid w:val="00EE3EFF"/>
    <w:rsid w:val="00EE5215"/>
    <w:rsid w:val="00EE5246"/>
    <w:rsid w:val="00EF00AD"/>
    <w:rsid w:val="00EF0B8F"/>
    <w:rsid w:val="00EF1FAC"/>
    <w:rsid w:val="00EF25F3"/>
    <w:rsid w:val="00EF25FF"/>
    <w:rsid w:val="00EF2848"/>
    <w:rsid w:val="00EF3FDE"/>
    <w:rsid w:val="00EF656A"/>
    <w:rsid w:val="00EF6DE0"/>
    <w:rsid w:val="00F00714"/>
    <w:rsid w:val="00F011C6"/>
    <w:rsid w:val="00F02F32"/>
    <w:rsid w:val="00F0325C"/>
    <w:rsid w:val="00F0374B"/>
    <w:rsid w:val="00F04613"/>
    <w:rsid w:val="00F04C06"/>
    <w:rsid w:val="00F05764"/>
    <w:rsid w:val="00F10C93"/>
    <w:rsid w:val="00F10E73"/>
    <w:rsid w:val="00F10E8D"/>
    <w:rsid w:val="00F13E9E"/>
    <w:rsid w:val="00F14A99"/>
    <w:rsid w:val="00F15276"/>
    <w:rsid w:val="00F16BA1"/>
    <w:rsid w:val="00F17625"/>
    <w:rsid w:val="00F1784C"/>
    <w:rsid w:val="00F2053C"/>
    <w:rsid w:val="00F2086C"/>
    <w:rsid w:val="00F21BFB"/>
    <w:rsid w:val="00F22253"/>
    <w:rsid w:val="00F22EF8"/>
    <w:rsid w:val="00F2381F"/>
    <w:rsid w:val="00F23826"/>
    <w:rsid w:val="00F252DF"/>
    <w:rsid w:val="00F2643F"/>
    <w:rsid w:val="00F270E8"/>
    <w:rsid w:val="00F323B3"/>
    <w:rsid w:val="00F33DE1"/>
    <w:rsid w:val="00F3701C"/>
    <w:rsid w:val="00F41174"/>
    <w:rsid w:val="00F46035"/>
    <w:rsid w:val="00F51510"/>
    <w:rsid w:val="00F537DE"/>
    <w:rsid w:val="00F6151D"/>
    <w:rsid w:val="00F61A21"/>
    <w:rsid w:val="00F61FA6"/>
    <w:rsid w:val="00F66613"/>
    <w:rsid w:val="00F67AA5"/>
    <w:rsid w:val="00F7177C"/>
    <w:rsid w:val="00F7242D"/>
    <w:rsid w:val="00F73369"/>
    <w:rsid w:val="00F75CC4"/>
    <w:rsid w:val="00F8024F"/>
    <w:rsid w:val="00F8038A"/>
    <w:rsid w:val="00F83EA7"/>
    <w:rsid w:val="00F8405F"/>
    <w:rsid w:val="00F85C8A"/>
    <w:rsid w:val="00F86CB7"/>
    <w:rsid w:val="00F87319"/>
    <w:rsid w:val="00F87F63"/>
    <w:rsid w:val="00F90259"/>
    <w:rsid w:val="00F91642"/>
    <w:rsid w:val="00F920BB"/>
    <w:rsid w:val="00F92F3E"/>
    <w:rsid w:val="00F969CE"/>
    <w:rsid w:val="00F97E32"/>
    <w:rsid w:val="00FA1BE5"/>
    <w:rsid w:val="00FA74AA"/>
    <w:rsid w:val="00FA7ED7"/>
    <w:rsid w:val="00FB2CBB"/>
    <w:rsid w:val="00FB4155"/>
    <w:rsid w:val="00FB467B"/>
    <w:rsid w:val="00FB5D70"/>
    <w:rsid w:val="00FB5F16"/>
    <w:rsid w:val="00FB7B4C"/>
    <w:rsid w:val="00FB7E1D"/>
    <w:rsid w:val="00FC2009"/>
    <w:rsid w:val="00FC35E0"/>
    <w:rsid w:val="00FC56D7"/>
    <w:rsid w:val="00FC7A5A"/>
    <w:rsid w:val="00FD0321"/>
    <w:rsid w:val="00FD2C66"/>
    <w:rsid w:val="00FD2EFA"/>
    <w:rsid w:val="00FD2F89"/>
    <w:rsid w:val="00FD30BD"/>
    <w:rsid w:val="00FD5922"/>
    <w:rsid w:val="00FD62E7"/>
    <w:rsid w:val="00FD6725"/>
    <w:rsid w:val="00FD6B1F"/>
    <w:rsid w:val="00FD70FE"/>
    <w:rsid w:val="00FD7725"/>
    <w:rsid w:val="00FD7B2D"/>
    <w:rsid w:val="00FD7B4B"/>
    <w:rsid w:val="00FE1399"/>
    <w:rsid w:val="00FE3E25"/>
    <w:rsid w:val="00FE3FE4"/>
    <w:rsid w:val="00FE43D0"/>
    <w:rsid w:val="00FE47B7"/>
    <w:rsid w:val="00FE4E18"/>
    <w:rsid w:val="00FE6391"/>
    <w:rsid w:val="00FE72C3"/>
    <w:rsid w:val="00FE72CE"/>
    <w:rsid w:val="00FF15ED"/>
    <w:rsid w:val="00FF18BE"/>
    <w:rsid w:val="00FF3209"/>
    <w:rsid w:val="00FF47EC"/>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4E"/>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7A551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301D8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A75F0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7A551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301D8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Lato" w:hAnsi="Lato"/>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paragraph" w:customStyle="1" w:styleId="Bullet2">
    <w:name w:val="Bullet 2"/>
    <w:basedOn w:val="Normal"/>
    <w:uiPriority w:val="2"/>
    <w:qFormat/>
    <w:rsid w:val="00274FF1"/>
    <w:pPr>
      <w:numPr>
        <w:numId w:val="18"/>
      </w:numPr>
      <w:tabs>
        <w:tab w:val="clear" w:pos="794"/>
      </w:tabs>
      <w:spacing w:before="60" w:after="120" w:line="260" w:lineRule="atLeast"/>
      <w:ind w:left="0" w:firstLine="0"/>
    </w:pPr>
    <w:rPr>
      <w:rFonts w:ascii="Book Antiqua" w:eastAsia="Times New Roman" w:hAnsi="Book Antiqua" w:cs="Times New Roman"/>
      <w:lang w:val="en-AU" w:eastAsia="en-AU"/>
    </w:rPr>
  </w:style>
  <w:style w:type="table" w:customStyle="1" w:styleId="TableGrid1">
    <w:name w:val="Table Grid1"/>
    <w:basedOn w:val="TableNormal"/>
    <w:next w:val="TableGrid"/>
    <w:rsid w:val="00274FF1"/>
    <w:pPr>
      <w:spacing w:before="60" w:after="40" w:line="260" w:lineRule="atLeast"/>
    </w:pPr>
    <w:rPr>
      <w:rFonts w:ascii="Book Antiqua" w:eastAsia="Times New Roman" w:hAnsi="Book Antiqua" w:cs="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52F4"/>
    <w:rPr>
      <w:color w:val="605E5C"/>
      <w:shd w:val="clear" w:color="auto" w:fill="E1DFDD"/>
    </w:rPr>
  </w:style>
  <w:style w:type="paragraph" w:styleId="NoSpacing">
    <w:name w:val="No Spacing"/>
    <w:uiPriority w:val="1"/>
    <w:qFormat/>
    <w:rsid w:val="0018074E"/>
    <w:pPr>
      <w:spacing w:after="0" w:line="240" w:lineRule="auto"/>
      <w:jc w:val="both"/>
    </w:pPr>
    <w:rPr>
      <w:rFonts w:ascii="Times New Roman" w:hAnsi="Times New Roman"/>
    </w:rPr>
  </w:style>
  <w:style w:type="character" w:customStyle="1" w:styleId="UnresolvedMention2">
    <w:name w:val="Unresolved Mention2"/>
    <w:basedOn w:val="DefaultParagraphFont"/>
    <w:uiPriority w:val="99"/>
    <w:semiHidden/>
    <w:unhideWhenUsed/>
    <w:rsid w:val="00851628"/>
    <w:rPr>
      <w:color w:val="605E5C"/>
      <w:shd w:val="clear" w:color="auto" w:fill="E1DFDD"/>
    </w:rPr>
  </w:style>
  <w:style w:type="character" w:customStyle="1" w:styleId="Heading8Char">
    <w:name w:val="Heading 8 Char"/>
    <w:basedOn w:val="DefaultParagraphFont"/>
    <w:link w:val="Heading8"/>
    <w:uiPriority w:val="9"/>
    <w:semiHidden/>
    <w:rsid w:val="00A75F05"/>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4E"/>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7A551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301D8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A75F0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7A551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301D8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Lato" w:hAnsi="Lato"/>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paragraph" w:customStyle="1" w:styleId="Bullet2">
    <w:name w:val="Bullet 2"/>
    <w:basedOn w:val="Normal"/>
    <w:uiPriority w:val="2"/>
    <w:qFormat/>
    <w:rsid w:val="00274FF1"/>
    <w:pPr>
      <w:numPr>
        <w:numId w:val="18"/>
      </w:numPr>
      <w:tabs>
        <w:tab w:val="clear" w:pos="794"/>
      </w:tabs>
      <w:spacing w:before="60" w:after="120" w:line="260" w:lineRule="atLeast"/>
      <w:ind w:left="0" w:firstLine="0"/>
    </w:pPr>
    <w:rPr>
      <w:rFonts w:ascii="Book Antiqua" w:eastAsia="Times New Roman" w:hAnsi="Book Antiqua" w:cs="Times New Roman"/>
      <w:lang w:val="en-AU" w:eastAsia="en-AU"/>
    </w:rPr>
  </w:style>
  <w:style w:type="table" w:customStyle="1" w:styleId="TableGrid1">
    <w:name w:val="Table Grid1"/>
    <w:basedOn w:val="TableNormal"/>
    <w:next w:val="TableGrid"/>
    <w:rsid w:val="00274FF1"/>
    <w:pPr>
      <w:spacing w:before="60" w:after="40" w:line="260" w:lineRule="atLeast"/>
    </w:pPr>
    <w:rPr>
      <w:rFonts w:ascii="Book Antiqua" w:eastAsia="Times New Roman" w:hAnsi="Book Antiqua" w:cs="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52F4"/>
    <w:rPr>
      <w:color w:val="605E5C"/>
      <w:shd w:val="clear" w:color="auto" w:fill="E1DFDD"/>
    </w:rPr>
  </w:style>
  <w:style w:type="paragraph" w:styleId="NoSpacing">
    <w:name w:val="No Spacing"/>
    <w:uiPriority w:val="1"/>
    <w:qFormat/>
    <w:rsid w:val="0018074E"/>
    <w:pPr>
      <w:spacing w:after="0" w:line="240" w:lineRule="auto"/>
      <w:jc w:val="both"/>
    </w:pPr>
    <w:rPr>
      <w:rFonts w:ascii="Times New Roman" w:hAnsi="Times New Roman"/>
    </w:rPr>
  </w:style>
  <w:style w:type="character" w:customStyle="1" w:styleId="UnresolvedMention2">
    <w:name w:val="Unresolved Mention2"/>
    <w:basedOn w:val="DefaultParagraphFont"/>
    <w:uiPriority w:val="99"/>
    <w:semiHidden/>
    <w:unhideWhenUsed/>
    <w:rsid w:val="00851628"/>
    <w:rPr>
      <w:color w:val="605E5C"/>
      <w:shd w:val="clear" w:color="auto" w:fill="E1DFDD"/>
    </w:rPr>
  </w:style>
  <w:style w:type="character" w:customStyle="1" w:styleId="Heading8Char">
    <w:name w:val="Heading 8 Char"/>
    <w:basedOn w:val="DefaultParagraphFont"/>
    <w:link w:val="Heading8"/>
    <w:uiPriority w:val="9"/>
    <w:semiHidden/>
    <w:rsid w:val="00A75F05"/>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285">
      <w:bodyDiv w:val="1"/>
      <w:marLeft w:val="0"/>
      <w:marRight w:val="0"/>
      <w:marTop w:val="0"/>
      <w:marBottom w:val="0"/>
      <w:divBdr>
        <w:top w:val="none" w:sz="0" w:space="0" w:color="auto"/>
        <w:left w:val="none" w:sz="0" w:space="0" w:color="auto"/>
        <w:bottom w:val="none" w:sz="0" w:space="0" w:color="auto"/>
        <w:right w:val="none" w:sz="0" w:space="0" w:color="auto"/>
      </w:divBdr>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661663803">
      <w:bodyDiv w:val="1"/>
      <w:marLeft w:val="0"/>
      <w:marRight w:val="0"/>
      <w:marTop w:val="0"/>
      <w:marBottom w:val="0"/>
      <w:divBdr>
        <w:top w:val="none" w:sz="0" w:space="0" w:color="auto"/>
        <w:left w:val="none" w:sz="0" w:space="0" w:color="auto"/>
        <w:bottom w:val="none" w:sz="0" w:space="0" w:color="auto"/>
        <w:right w:val="none" w:sz="0" w:space="0" w:color="auto"/>
      </w:divBdr>
    </w:div>
    <w:div w:id="836000094">
      <w:bodyDiv w:val="1"/>
      <w:marLeft w:val="0"/>
      <w:marRight w:val="0"/>
      <w:marTop w:val="0"/>
      <w:marBottom w:val="0"/>
      <w:divBdr>
        <w:top w:val="none" w:sz="0" w:space="0" w:color="auto"/>
        <w:left w:val="none" w:sz="0" w:space="0" w:color="auto"/>
        <w:bottom w:val="none" w:sz="0" w:space="0" w:color="auto"/>
        <w:right w:val="none" w:sz="0" w:space="0" w:color="auto"/>
      </w:divBdr>
    </w:div>
    <w:div w:id="873613852">
      <w:bodyDiv w:val="1"/>
      <w:marLeft w:val="0"/>
      <w:marRight w:val="0"/>
      <w:marTop w:val="0"/>
      <w:marBottom w:val="0"/>
      <w:divBdr>
        <w:top w:val="none" w:sz="0" w:space="0" w:color="auto"/>
        <w:left w:val="none" w:sz="0" w:space="0" w:color="auto"/>
        <w:bottom w:val="none" w:sz="0" w:space="0" w:color="auto"/>
        <w:right w:val="none" w:sz="0" w:space="0" w:color="auto"/>
      </w:divBdr>
    </w:div>
    <w:div w:id="911427214">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11488551">
      <w:bodyDiv w:val="1"/>
      <w:marLeft w:val="0"/>
      <w:marRight w:val="0"/>
      <w:marTop w:val="0"/>
      <w:marBottom w:val="0"/>
      <w:divBdr>
        <w:top w:val="none" w:sz="0" w:space="0" w:color="auto"/>
        <w:left w:val="none" w:sz="0" w:space="0" w:color="auto"/>
        <w:bottom w:val="none" w:sz="0" w:space="0" w:color="auto"/>
        <w:right w:val="none" w:sz="0" w:space="0" w:color="auto"/>
      </w:divBdr>
    </w:div>
    <w:div w:id="1049955644">
      <w:bodyDiv w:val="1"/>
      <w:marLeft w:val="0"/>
      <w:marRight w:val="0"/>
      <w:marTop w:val="0"/>
      <w:marBottom w:val="0"/>
      <w:divBdr>
        <w:top w:val="none" w:sz="0" w:space="0" w:color="auto"/>
        <w:left w:val="none" w:sz="0" w:space="0" w:color="auto"/>
        <w:bottom w:val="none" w:sz="0" w:space="0" w:color="auto"/>
        <w:right w:val="none" w:sz="0" w:space="0" w:color="auto"/>
      </w:divBdr>
    </w:div>
    <w:div w:id="1110273129">
      <w:bodyDiv w:val="1"/>
      <w:marLeft w:val="0"/>
      <w:marRight w:val="0"/>
      <w:marTop w:val="0"/>
      <w:marBottom w:val="0"/>
      <w:divBdr>
        <w:top w:val="none" w:sz="0" w:space="0" w:color="auto"/>
        <w:left w:val="none" w:sz="0" w:space="0" w:color="auto"/>
        <w:bottom w:val="none" w:sz="0" w:space="0" w:color="auto"/>
        <w:right w:val="none" w:sz="0" w:space="0" w:color="auto"/>
      </w:divBdr>
    </w:div>
    <w:div w:id="1148980922">
      <w:bodyDiv w:val="1"/>
      <w:marLeft w:val="0"/>
      <w:marRight w:val="0"/>
      <w:marTop w:val="0"/>
      <w:marBottom w:val="0"/>
      <w:divBdr>
        <w:top w:val="none" w:sz="0" w:space="0" w:color="auto"/>
        <w:left w:val="none" w:sz="0" w:space="0" w:color="auto"/>
        <w:bottom w:val="none" w:sz="0" w:space="0" w:color="auto"/>
        <w:right w:val="none" w:sz="0" w:space="0" w:color="auto"/>
      </w:divBdr>
    </w:div>
    <w:div w:id="1185900061">
      <w:bodyDiv w:val="1"/>
      <w:marLeft w:val="0"/>
      <w:marRight w:val="0"/>
      <w:marTop w:val="0"/>
      <w:marBottom w:val="0"/>
      <w:divBdr>
        <w:top w:val="none" w:sz="0" w:space="0" w:color="auto"/>
        <w:left w:val="none" w:sz="0" w:space="0" w:color="auto"/>
        <w:bottom w:val="none" w:sz="0" w:space="0" w:color="auto"/>
        <w:right w:val="none" w:sz="0" w:space="0" w:color="auto"/>
      </w:divBdr>
    </w:div>
    <w:div w:id="1403067151">
      <w:bodyDiv w:val="1"/>
      <w:marLeft w:val="0"/>
      <w:marRight w:val="0"/>
      <w:marTop w:val="0"/>
      <w:marBottom w:val="0"/>
      <w:divBdr>
        <w:top w:val="none" w:sz="0" w:space="0" w:color="auto"/>
        <w:left w:val="none" w:sz="0" w:space="0" w:color="auto"/>
        <w:bottom w:val="none" w:sz="0" w:space="0" w:color="auto"/>
        <w:right w:val="none" w:sz="0" w:space="0" w:color="auto"/>
      </w:divBdr>
    </w:div>
    <w:div w:id="1546671629">
      <w:bodyDiv w:val="1"/>
      <w:marLeft w:val="0"/>
      <w:marRight w:val="0"/>
      <w:marTop w:val="0"/>
      <w:marBottom w:val="0"/>
      <w:divBdr>
        <w:top w:val="none" w:sz="0" w:space="0" w:color="auto"/>
        <w:left w:val="none" w:sz="0" w:space="0" w:color="auto"/>
        <w:bottom w:val="none" w:sz="0" w:space="0" w:color="auto"/>
        <w:right w:val="none" w:sz="0" w:space="0" w:color="auto"/>
      </w:divBdr>
    </w:div>
    <w:div w:id="1587378714">
      <w:bodyDiv w:val="1"/>
      <w:marLeft w:val="0"/>
      <w:marRight w:val="0"/>
      <w:marTop w:val="0"/>
      <w:marBottom w:val="0"/>
      <w:divBdr>
        <w:top w:val="none" w:sz="0" w:space="0" w:color="auto"/>
        <w:left w:val="none" w:sz="0" w:space="0" w:color="auto"/>
        <w:bottom w:val="none" w:sz="0" w:space="0" w:color="auto"/>
        <w:right w:val="none" w:sz="0" w:space="0" w:color="auto"/>
      </w:divBdr>
    </w:div>
    <w:div w:id="1587879019">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1808664060">
      <w:bodyDiv w:val="1"/>
      <w:marLeft w:val="0"/>
      <w:marRight w:val="0"/>
      <w:marTop w:val="0"/>
      <w:marBottom w:val="0"/>
      <w:divBdr>
        <w:top w:val="none" w:sz="0" w:space="0" w:color="auto"/>
        <w:left w:val="none" w:sz="0" w:space="0" w:color="auto"/>
        <w:bottom w:val="none" w:sz="0" w:space="0" w:color="auto"/>
        <w:right w:val="none" w:sz="0" w:space="0" w:color="auto"/>
      </w:divBdr>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pro.who.int/southpacific/pic_meeting/2017/documents/12thphmm_session01_himf_annex1_french_19aug.pdf"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wpro.who.int/southpacific/pic_meeting/2017/documents/12thphmm_session01_himf_annex1_french_19aug.pdf" TargetMode="External"/><Relationship Id="rId4" Type="http://schemas.openxmlformats.org/officeDocument/2006/relationships/settings" Target="settings.xml"/><Relationship Id="rId9" Type="http://schemas.openxmlformats.org/officeDocument/2006/relationships/hyperlink" Target="http://www.wpro.who.int/southpacific/pic_meeting/2017/documents/12thphmm_session01himf_french_19aug.pdf"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ho.int/gho/f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3315</Words>
  <Characters>18898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2019-06-09T12:50:00Z</dcterms:created>
  <dcterms:modified xsi:type="dcterms:W3CDTF">2019-07-27T04:31:00Z</dcterms:modified>
</cp:coreProperties>
</file>